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3692" w14:textId="77777777" w:rsidR="00B6799B" w:rsidRDefault="00B6799B" w:rsidP="009E0701">
      <w:pPr>
        <w:spacing w:after="0" w:line="240" w:lineRule="auto"/>
        <w:jc w:val="center"/>
      </w:pPr>
    </w:p>
    <w:p w14:paraId="53A3C3BD" w14:textId="642131B5" w:rsidR="00B6799B" w:rsidRDefault="00443FC3" w:rsidP="00443FC3">
      <w:pPr>
        <w:spacing w:after="0" w:line="240" w:lineRule="auto"/>
        <w:ind w:left="2880" w:firstLine="720"/>
        <w:jc w:val="center"/>
      </w:pPr>
      <w:r>
        <w:rPr>
          <w:noProof/>
        </w:rPr>
        <w:drawing>
          <wp:inline distT="0" distB="0" distL="0" distR="0" wp14:anchorId="687CE71C" wp14:editId="57A25DAA">
            <wp:extent cx="2414016" cy="1537438"/>
            <wp:effectExtent l="0" t="0" r="5715" b="5715"/>
            <wp:docPr id="102974073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40735" name="Picture 1" descr="A black background with blu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1946" cy="1542489"/>
                    </a:xfrm>
                    <a:prstGeom prst="rect">
                      <a:avLst/>
                    </a:prstGeom>
                    <a:noFill/>
                    <a:ln>
                      <a:noFill/>
                    </a:ln>
                  </pic:spPr>
                </pic:pic>
              </a:graphicData>
            </a:graphic>
          </wp:inline>
        </w:drawing>
      </w:r>
    </w:p>
    <w:p w14:paraId="24B51C59" w14:textId="24B46CEA" w:rsidR="00B6799B" w:rsidRDefault="00B6799B" w:rsidP="009E0701">
      <w:pPr>
        <w:spacing w:after="0" w:line="240" w:lineRule="auto"/>
        <w:jc w:val="center"/>
      </w:pPr>
    </w:p>
    <w:p w14:paraId="3E79C4FD" w14:textId="77777777" w:rsidR="00B6799B" w:rsidRDefault="00B6799B" w:rsidP="009E0701">
      <w:pPr>
        <w:spacing w:after="0" w:line="240" w:lineRule="auto"/>
        <w:jc w:val="center"/>
      </w:pPr>
    </w:p>
    <w:p w14:paraId="369BBE3F" w14:textId="77777777" w:rsidR="00B6799B" w:rsidRDefault="00B6799B" w:rsidP="009E0701">
      <w:pPr>
        <w:spacing w:after="0" w:line="240" w:lineRule="auto"/>
        <w:jc w:val="center"/>
      </w:pPr>
    </w:p>
    <w:p w14:paraId="601EF1FB" w14:textId="77777777" w:rsidR="00B6799B" w:rsidRDefault="00B6799B" w:rsidP="009E0701">
      <w:pPr>
        <w:spacing w:after="0" w:line="240" w:lineRule="auto"/>
        <w:jc w:val="center"/>
      </w:pPr>
    </w:p>
    <w:p w14:paraId="426BD492" w14:textId="77777777" w:rsidR="00443FC3" w:rsidRDefault="00443FC3" w:rsidP="009E0701">
      <w:pPr>
        <w:spacing w:after="0" w:line="240" w:lineRule="auto"/>
        <w:jc w:val="center"/>
      </w:pPr>
    </w:p>
    <w:p w14:paraId="0B64DD1F" w14:textId="77777777" w:rsidR="00443FC3" w:rsidRDefault="00443FC3" w:rsidP="009E0701">
      <w:pPr>
        <w:spacing w:after="0" w:line="240" w:lineRule="auto"/>
        <w:jc w:val="center"/>
      </w:pPr>
    </w:p>
    <w:p w14:paraId="52088880" w14:textId="77777777" w:rsidR="00443FC3" w:rsidRDefault="00443FC3" w:rsidP="009E0701">
      <w:pPr>
        <w:spacing w:after="0" w:line="240" w:lineRule="auto"/>
        <w:jc w:val="center"/>
      </w:pPr>
    </w:p>
    <w:p w14:paraId="661E3338" w14:textId="77777777" w:rsidR="00443FC3" w:rsidRDefault="00443FC3" w:rsidP="009E0701">
      <w:pPr>
        <w:spacing w:after="0" w:line="240" w:lineRule="auto"/>
        <w:jc w:val="center"/>
      </w:pPr>
    </w:p>
    <w:p w14:paraId="2D841A4F" w14:textId="2C697E47" w:rsidR="00B6799B" w:rsidRPr="00443FC3" w:rsidRDefault="00B6799B" w:rsidP="009E0701">
      <w:pPr>
        <w:spacing w:after="0" w:line="240" w:lineRule="auto"/>
        <w:jc w:val="center"/>
        <w:rPr>
          <w:rFonts w:ascii="Arial" w:hAnsi="Arial" w:cs="Arial"/>
          <w:b/>
          <w:bCs/>
        </w:rPr>
      </w:pPr>
      <w:r w:rsidRPr="00443FC3">
        <w:rPr>
          <w:rFonts w:ascii="Arial" w:hAnsi="Arial" w:cs="Arial"/>
          <w:b/>
          <w:bCs/>
        </w:rPr>
        <w:t>ID 6334962</w:t>
      </w:r>
    </w:p>
    <w:p w14:paraId="1B111729" w14:textId="77777777" w:rsidR="00B6799B" w:rsidRPr="00443FC3" w:rsidRDefault="00B6799B" w:rsidP="009E0701">
      <w:pPr>
        <w:spacing w:after="0" w:line="240" w:lineRule="auto"/>
        <w:jc w:val="center"/>
        <w:rPr>
          <w:rFonts w:ascii="Arial" w:hAnsi="Arial" w:cs="Arial"/>
          <w:b/>
          <w:bCs/>
        </w:rPr>
      </w:pPr>
    </w:p>
    <w:p w14:paraId="49042029" w14:textId="77777777" w:rsidR="00B6799B" w:rsidRPr="00443FC3" w:rsidRDefault="00B6799B" w:rsidP="009E0701">
      <w:pPr>
        <w:spacing w:after="0" w:line="240" w:lineRule="auto"/>
        <w:jc w:val="center"/>
        <w:rPr>
          <w:rFonts w:ascii="Arial" w:hAnsi="Arial" w:cs="Arial"/>
          <w:b/>
          <w:bCs/>
        </w:rPr>
      </w:pPr>
    </w:p>
    <w:p w14:paraId="024FE798" w14:textId="77777777" w:rsidR="00B6799B" w:rsidRPr="00443FC3" w:rsidRDefault="00B6799B" w:rsidP="009E0701">
      <w:pPr>
        <w:spacing w:after="0" w:line="240" w:lineRule="auto"/>
        <w:jc w:val="center"/>
        <w:rPr>
          <w:rFonts w:ascii="Arial" w:hAnsi="Arial" w:cs="Arial"/>
          <w:b/>
          <w:bCs/>
        </w:rPr>
      </w:pPr>
    </w:p>
    <w:p w14:paraId="6C55FFCF" w14:textId="54250168" w:rsidR="0078225F" w:rsidRPr="00443FC3" w:rsidRDefault="0078225F" w:rsidP="009E0701">
      <w:pPr>
        <w:spacing w:after="0" w:line="240" w:lineRule="auto"/>
        <w:jc w:val="center"/>
        <w:rPr>
          <w:rFonts w:ascii="Arial" w:hAnsi="Arial" w:cs="Arial"/>
          <w:b/>
          <w:bCs/>
        </w:rPr>
      </w:pPr>
      <w:r w:rsidRPr="00443FC3">
        <w:rPr>
          <w:rFonts w:ascii="Arial" w:hAnsi="Arial" w:cs="Arial"/>
          <w:b/>
          <w:bCs/>
        </w:rPr>
        <w:t>PAYMENT CARD INDUSTRY DATA SECURITY STANDARD QUALIFIED SECURITY ASSESSOR (PCI DSS QSA) STATEMENT OF REQUIREMENTS</w:t>
      </w:r>
    </w:p>
    <w:p w14:paraId="4E9AE071" w14:textId="77777777" w:rsidR="0078225F" w:rsidRDefault="0078225F" w:rsidP="009E0701">
      <w:pPr>
        <w:spacing w:after="0" w:line="240" w:lineRule="auto"/>
      </w:pPr>
    </w:p>
    <w:p w14:paraId="12930302" w14:textId="77777777" w:rsidR="0078225F" w:rsidRDefault="0078225F" w:rsidP="009E0701">
      <w:pPr>
        <w:spacing w:after="0" w:line="240" w:lineRule="auto"/>
      </w:pPr>
    </w:p>
    <w:p w14:paraId="39664C92" w14:textId="77777777" w:rsidR="0078225F" w:rsidRDefault="0078225F" w:rsidP="009E0701">
      <w:pPr>
        <w:spacing w:after="0" w:line="240" w:lineRule="auto"/>
      </w:pPr>
    </w:p>
    <w:p w14:paraId="6903F0D9" w14:textId="77777777" w:rsidR="0078225F" w:rsidRDefault="0078225F" w:rsidP="009E0701">
      <w:pPr>
        <w:spacing w:after="0" w:line="240" w:lineRule="auto"/>
      </w:pPr>
    </w:p>
    <w:p w14:paraId="27A2D732" w14:textId="77777777" w:rsidR="0078225F" w:rsidRDefault="0078225F" w:rsidP="009E0701">
      <w:pPr>
        <w:spacing w:after="0" w:line="240" w:lineRule="auto"/>
      </w:pPr>
    </w:p>
    <w:p w14:paraId="33428B23" w14:textId="77777777" w:rsidR="0078225F" w:rsidRDefault="0078225F" w:rsidP="009E0701">
      <w:pPr>
        <w:spacing w:after="0" w:line="240" w:lineRule="auto"/>
      </w:pPr>
    </w:p>
    <w:p w14:paraId="32F26D7A" w14:textId="77777777" w:rsidR="0078225F" w:rsidRDefault="0078225F" w:rsidP="009E0701">
      <w:pPr>
        <w:spacing w:after="0" w:line="240" w:lineRule="auto"/>
      </w:pPr>
    </w:p>
    <w:p w14:paraId="61E009D5" w14:textId="77777777" w:rsidR="0078225F" w:rsidRDefault="0078225F" w:rsidP="009E0701">
      <w:pPr>
        <w:spacing w:after="0" w:line="240" w:lineRule="auto"/>
      </w:pPr>
    </w:p>
    <w:p w14:paraId="193394B6" w14:textId="77777777" w:rsidR="0078225F" w:rsidRDefault="0078225F" w:rsidP="009E0701">
      <w:pPr>
        <w:spacing w:after="0" w:line="240" w:lineRule="auto"/>
      </w:pPr>
    </w:p>
    <w:p w14:paraId="353395EC" w14:textId="77777777" w:rsidR="0078225F" w:rsidRDefault="0078225F" w:rsidP="009E0701">
      <w:pPr>
        <w:spacing w:after="0" w:line="240" w:lineRule="auto"/>
      </w:pPr>
    </w:p>
    <w:p w14:paraId="2643F441" w14:textId="77777777" w:rsidR="0078225F" w:rsidRDefault="0078225F" w:rsidP="009E0701">
      <w:pPr>
        <w:spacing w:after="0" w:line="240" w:lineRule="auto"/>
      </w:pPr>
    </w:p>
    <w:p w14:paraId="0AAC9753" w14:textId="77777777" w:rsidR="0078225F" w:rsidRDefault="0078225F" w:rsidP="009E0701">
      <w:pPr>
        <w:spacing w:after="0" w:line="240" w:lineRule="auto"/>
      </w:pPr>
    </w:p>
    <w:p w14:paraId="222BD28B" w14:textId="77777777" w:rsidR="0078225F" w:rsidRDefault="0078225F" w:rsidP="009E0701">
      <w:pPr>
        <w:spacing w:after="0" w:line="240" w:lineRule="auto"/>
      </w:pPr>
    </w:p>
    <w:p w14:paraId="520C1361" w14:textId="77777777" w:rsidR="0078225F" w:rsidRDefault="0078225F" w:rsidP="009E0701">
      <w:pPr>
        <w:spacing w:after="0" w:line="240" w:lineRule="auto"/>
      </w:pPr>
    </w:p>
    <w:p w14:paraId="5FC2BD78" w14:textId="77777777" w:rsidR="009E0701" w:rsidRDefault="009E0701" w:rsidP="009E0701">
      <w:pPr>
        <w:spacing w:after="0" w:line="240" w:lineRule="auto"/>
      </w:pPr>
    </w:p>
    <w:p w14:paraId="0474B66F" w14:textId="77777777" w:rsidR="009E0701" w:rsidRDefault="009E0701" w:rsidP="009E0701">
      <w:pPr>
        <w:spacing w:after="0" w:line="240" w:lineRule="auto"/>
      </w:pPr>
    </w:p>
    <w:p w14:paraId="46049387" w14:textId="77777777" w:rsidR="009E0701" w:rsidRDefault="009E0701" w:rsidP="009E0701">
      <w:pPr>
        <w:spacing w:after="0" w:line="240" w:lineRule="auto"/>
      </w:pPr>
    </w:p>
    <w:p w14:paraId="68856509" w14:textId="77777777" w:rsidR="009E0701" w:rsidRDefault="009E0701" w:rsidP="009E0701">
      <w:pPr>
        <w:spacing w:after="0" w:line="240" w:lineRule="auto"/>
      </w:pPr>
    </w:p>
    <w:p w14:paraId="759C8F5D" w14:textId="77777777" w:rsidR="009E0701" w:rsidRDefault="009E0701" w:rsidP="009E0701">
      <w:pPr>
        <w:spacing w:after="0" w:line="240" w:lineRule="auto"/>
      </w:pPr>
    </w:p>
    <w:p w14:paraId="0E4E9FC4" w14:textId="77777777" w:rsidR="009E0701" w:rsidRDefault="009E0701" w:rsidP="009E0701">
      <w:pPr>
        <w:spacing w:after="0" w:line="240" w:lineRule="auto"/>
      </w:pPr>
    </w:p>
    <w:p w14:paraId="21BD546D" w14:textId="77777777" w:rsidR="009E0701" w:rsidRDefault="009E0701" w:rsidP="009E0701">
      <w:pPr>
        <w:spacing w:after="0" w:line="240" w:lineRule="auto"/>
      </w:pPr>
    </w:p>
    <w:p w14:paraId="376B833E" w14:textId="77777777" w:rsidR="009E0701" w:rsidRDefault="009E0701" w:rsidP="009E0701">
      <w:pPr>
        <w:spacing w:after="0" w:line="240" w:lineRule="auto"/>
      </w:pPr>
    </w:p>
    <w:p w14:paraId="5C6227A9" w14:textId="77777777" w:rsidR="009E0701" w:rsidRDefault="009E0701" w:rsidP="009E0701">
      <w:pPr>
        <w:spacing w:after="0" w:line="240" w:lineRule="auto"/>
      </w:pPr>
    </w:p>
    <w:p w14:paraId="3F6BDA34" w14:textId="77777777" w:rsidR="009E0701" w:rsidRDefault="009E0701" w:rsidP="009E0701">
      <w:pPr>
        <w:spacing w:after="0" w:line="240" w:lineRule="auto"/>
      </w:pPr>
    </w:p>
    <w:p w14:paraId="15DF7BBE" w14:textId="77777777" w:rsidR="009E0701" w:rsidRDefault="009E0701" w:rsidP="009E0701">
      <w:pPr>
        <w:spacing w:after="0" w:line="240" w:lineRule="auto"/>
      </w:pPr>
    </w:p>
    <w:p w14:paraId="07C92DCF" w14:textId="77777777" w:rsidR="009E0701" w:rsidRDefault="009E0701" w:rsidP="009E0701">
      <w:pPr>
        <w:spacing w:after="0" w:line="240" w:lineRule="auto"/>
      </w:pPr>
    </w:p>
    <w:p w14:paraId="2F18596A" w14:textId="77777777" w:rsidR="009E0701" w:rsidRDefault="009E0701" w:rsidP="009E0701">
      <w:pPr>
        <w:spacing w:after="0" w:line="240" w:lineRule="auto"/>
      </w:pPr>
    </w:p>
    <w:p w14:paraId="12FA985F" w14:textId="77777777" w:rsidR="009E0701" w:rsidRDefault="009E0701" w:rsidP="009E0701">
      <w:pPr>
        <w:spacing w:after="0" w:line="240" w:lineRule="auto"/>
      </w:pPr>
    </w:p>
    <w:p w14:paraId="60F566E9" w14:textId="1FC5382B" w:rsidR="0078225F" w:rsidRDefault="0078225F" w:rsidP="009E0701">
      <w:pPr>
        <w:pStyle w:val="ListParagraph"/>
        <w:numPr>
          <w:ilvl w:val="0"/>
          <w:numId w:val="2"/>
        </w:numPr>
        <w:spacing w:after="0" w:line="240" w:lineRule="auto"/>
        <w:rPr>
          <w:rFonts w:ascii="Arial" w:hAnsi="Arial" w:cs="Arial"/>
          <w:b/>
          <w:bCs/>
          <w:sz w:val="24"/>
          <w:szCs w:val="24"/>
        </w:rPr>
      </w:pPr>
      <w:r w:rsidRPr="00FE713F">
        <w:rPr>
          <w:rFonts w:ascii="Arial" w:hAnsi="Arial" w:cs="Arial"/>
          <w:b/>
          <w:bCs/>
          <w:sz w:val="24"/>
          <w:szCs w:val="24"/>
        </w:rPr>
        <w:lastRenderedPageBreak/>
        <w:t xml:space="preserve">Introduction </w:t>
      </w:r>
    </w:p>
    <w:p w14:paraId="7A9555E5" w14:textId="77777777" w:rsidR="009E0701" w:rsidRPr="00FE713F" w:rsidRDefault="009E0701" w:rsidP="009E0701">
      <w:pPr>
        <w:pStyle w:val="ListParagraph"/>
        <w:spacing w:after="0" w:line="240" w:lineRule="auto"/>
        <w:rPr>
          <w:rFonts w:ascii="Arial" w:hAnsi="Arial" w:cs="Arial"/>
          <w:b/>
          <w:bCs/>
          <w:sz w:val="24"/>
          <w:szCs w:val="24"/>
        </w:rPr>
      </w:pPr>
    </w:p>
    <w:p w14:paraId="546F7D7F" w14:textId="738033A5" w:rsidR="00B6799B" w:rsidRPr="004630DD" w:rsidRDefault="00B6799B" w:rsidP="009E0701">
      <w:pPr>
        <w:spacing w:after="0" w:line="240" w:lineRule="auto"/>
        <w:rPr>
          <w:rFonts w:ascii="Arial" w:hAnsi="Arial" w:cs="Arial"/>
        </w:rPr>
      </w:pPr>
      <w:r w:rsidRPr="004630DD">
        <w:rPr>
          <w:rFonts w:ascii="Arial" w:hAnsi="Arial" w:cs="Arial"/>
        </w:rPr>
        <w:t xml:space="preserve">The Department of Finance, Construction and Procurement Delivery (CPD) intends to establish a collaborative Framework Agreement (Framework) for the provision of a Qualified Security Assessor (QSA) services within Northern Ireland on behalf of Northern Ireland Civil Service (NICS) Departments, Agencies and Non-Departmental Public Bodies and other Participating Bodies (Clients), see </w:t>
      </w:r>
      <w:r w:rsidR="00892A34">
        <w:rPr>
          <w:rFonts w:ascii="Arial" w:hAnsi="Arial" w:cs="Arial"/>
        </w:rPr>
        <w:t xml:space="preserve">Schedule 4 of the Framework Terms and Conditions </w:t>
      </w:r>
      <w:r w:rsidRPr="004630DD">
        <w:rPr>
          <w:rFonts w:ascii="Arial" w:hAnsi="Arial" w:cs="Arial"/>
        </w:rPr>
        <w:t xml:space="preserve">for a list of these bodies. These services are required </w:t>
      </w:r>
      <w:r w:rsidR="00F24C9A" w:rsidRPr="004630DD">
        <w:rPr>
          <w:rFonts w:ascii="Arial" w:hAnsi="Arial" w:cs="Arial"/>
        </w:rPr>
        <w:t xml:space="preserve">to help assist the Clients </w:t>
      </w:r>
      <w:r w:rsidRPr="004630DD">
        <w:rPr>
          <w:rFonts w:ascii="Arial" w:hAnsi="Arial" w:cs="Arial"/>
        </w:rPr>
        <w:t>achiev</w:t>
      </w:r>
      <w:r w:rsidR="00F24C9A" w:rsidRPr="004630DD">
        <w:rPr>
          <w:rFonts w:ascii="Arial" w:hAnsi="Arial" w:cs="Arial"/>
        </w:rPr>
        <w:t>e</w:t>
      </w:r>
      <w:r w:rsidRPr="004630DD">
        <w:rPr>
          <w:rFonts w:ascii="Arial" w:hAnsi="Arial" w:cs="Arial"/>
        </w:rPr>
        <w:t xml:space="preserve"> and maintain Payment Card Industry Data Security Standards (PCI DSS) compliance.</w:t>
      </w:r>
    </w:p>
    <w:p w14:paraId="542E5192" w14:textId="77777777" w:rsidR="00B6799B" w:rsidRPr="00B6799B" w:rsidRDefault="00B6799B" w:rsidP="009E0701">
      <w:pPr>
        <w:spacing w:after="0" w:line="240" w:lineRule="auto"/>
        <w:rPr>
          <w:rFonts w:ascii="Arial" w:hAnsi="Arial" w:cs="Arial"/>
          <w:sz w:val="24"/>
        </w:rPr>
      </w:pPr>
    </w:p>
    <w:p w14:paraId="0FFC1F1D" w14:textId="16C03489" w:rsidR="00B6799B" w:rsidRPr="004630DD" w:rsidRDefault="00B6799B" w:rsidP="009E0701">
      <w:pPr>
        <w:spacing w:after="0" w:line="240" w:lineRule="auto"/>
        <w:rPr>
          <w:rFonts w:ascii="Arial" w:hAnsi="Arial" w:cs="Arial"/>
        </w:rPr>
      </w:pPr>
      <w:r w:rsidRPr="004630DD">
        <w:rPr>
          <w:rFonts w:ascii="Arial" w:hAnsi="Arial" w:cs="Arial"/>
        </w:rPr>
        <w:t xml:space="preserve">Please note the list in </w:t>
      </w:r>
      <w:r w:rsidR="001262B0">
        <w:rPr>
          <w:rFonts w:ascii="Arial" w:hAnsi="Arial" w:cs="Arial"/>
        </w:rPr>
        <w:t>Schedule 4 of the Framework Terms and Conditions</w:t>
      </w:r>
      <w:r w:rsidRPr="004630DD">
        <w:rPr>
          <w:rFonts w:ascii="Arial" w:hAnsi="Arial" w:cs="Arial"/>
        </w:rPr>
        <w:t xml:space="preserve"> has been compiled of all users who have been engaged with to ascertain estimated usage and values. The potential value of the Framework has been devised through engagement with the beneficiaries and best endeavours have been made to include all users who have indicated they anticipate spending through this Framework during its lifetime. </w:t>
      </w:r>
    </w:p>
    <w:p w14:paraId="5D2A5580" w14:textId="77777777" w:rsidR="00F24C9A" w:rsidRPr="004630DD" w:rsidRDefault="00F24C9A" w:rsidP="009E0701">
      <w:pPr>
        <w:pStyle w:val="BodyText2"/>
        <w:tabs>
          <w:tab w:val="left" w:pos="567"/>
        </w:tabs>
        <w:spacing w:after="0" w:line="240" w:lineRule="auto"/>
        <w:rPr>
          <w:rFonts w:cs="Arial"/>
          <w:sz w:val="22"/>
          <w:szCs w:val="22"/>
        </w:rPr>
      </w:pPr>
    </w:p>
    <w:p w14:paraId="3C1EFD92" w14:textId="0A820701" w:rsidR="00F24C9A" w:rsidRPr="004630DD" w:rsidRDefault="00F24C9A" w:rsidP="009E0701">
      <w:pPr>
        <w:pStyle w:val="BodyText2"/>
        <w:tabs>
          <w:tab w:val="left" w:pos="567"/>
        </w:tabs>
        <w:spacing w:after="0" w:line="240" w:lineRule="auto"/>
        <w:rPr>
          <w:rFonts w:cs="Arial"/>
          <w:sz w:val="22"/>
          <w:szCs w:val="22"/>
        </w:rPr>
      </w:pPr>
      <w:r w:rsidRPr="004630DD">
        <w:rPr>
          <w:rFonts w:cs="Arial"/>
          <w:sz w:val="22"/>
          <w:szCs w:val="22"/>
        </w:rPr>
        <w:t xml:space="preserve">Additional public bodies to those listed in </w:t>
      </w:r>
      <w:r w:rsidR="001262B0" w:rsidRPr="001262B0">
        <w:rPr>
          <w:rFonts w:cs="Arial"/>
          <w:sz w:val="22"/>
          <w:szCs w:val="22"/>
        </w:rPr>
        <w:t>Schedule 4 of the Framework Terms and Conditions</w:t>
      </w:r>
      <w:r w:rsidRPr="004630DD">
        <w:rPr>
          <w:rFonts w:cs="Arial"/>
          <w:sz w:val="22"/>
          <w:szCs w:val="22"/>
        </w:rPr>
        <w:t xml:space="preserve"> may choose to participate in this Framework at any time as a Client. </w:t>
      </w:r>
    </w:p>
    <w:p w14:paraId="13A57E0D" w14:textId="77777777" w:rsidR="00F24C9A" w:rsidRDefault="00F24C9A" w:rsidP="009E0701">
      <w:pPr>
        <w:spacing w:after="0" w:line="240" w:lineRule="auto"/>
        <w:rPr>
          <w:rFonts w:cs="Arial"/>
          <w:sz w:val="24"/>
        </w:rPr>
      </w:pPr>
    </w:p>
    <w:p w14:paraId="758BABA9" w14:textId="7E3205B1" w:rsidR="00F24C9A" w:rsidRPr="004630DD" w:rsidRDefault="00F24C9A" w:rsidP="009E0701">
      <w:pPr>
        <w:spacing w:after="0" w:line="240" w:lineRule="auto"/>
        <w:rPr>
          <w:rFonts w:ascii="Arial" w:hAnsi="Arial" w:cs="Arial"/>
        </w:rPr>
      </w:pPr>
      <w:r w:rsidRPr="004630DD">
        <w:rPr>
          <w:rFonts w:ascii="Arial" w:hAnsi="Arial" w:cs="Arial"/>
        </w:rPr>
        <w:t>Throughout the lifetime of the contract CPD reserves the right to add participating bodies for example where a new body is formed / renaming of an existing body, new legislation requires an existing body to commence collecting funds not know at the inception of the Framework or indeed where duties are transferred between bodies.</w:t>
      </w:r>
    </w:p>
    <w:p w14:paraId="12C173EC" w14:textId="77777777" w:rsidR="00F24C9A" w:rsidRPr="004630DD" w:rsidRDefault="00F24C9A" w:rsidP="009E0701">
      <w:pPr>
        <w:spacing w:after="0" w:line="240" w:lineRule="auto"/>
        <w:rPr>
          <w:rFonts w:ascii="Arial" w:hAnsi="Arial" w:cs="Arial"/>
        </w:rPr>
      </w:pPr>
    </w:p>
    <w:p w14:paraId="1AB0D5E9" w14:textId="0D0B130E" w:rsidR="0078225F" w:rsidRDefault="0078225F" w:rsidP="009E0701">
      <w:pPr>
        <w:pStyle w:val="ListParagraph"/>
        <w:numPr>
          <w:ilvl w:val="0"/>
          <w:numId w:val="2"/>
        </w:numPr>
        <w:spacing w:after="0" w:line="240" w:lineRule="auto"/>
        <w:rPr>
          <w:rFonts w:ascii="Arial" w:hAnsi="Arial" w:cs="Arial"/>
          <w:b/>
          <w:bCs/>
          <w:sz w:val="24"/>
          <w:szCs w:val="24"/>
        </w:rPr>
      </w:pPr>
      <w:r w:rsidRPr="00FE713F">
        <w:rPr>
          <w:rFonts w:ascii="Arial" w:hAnsi="Arial" w:cs="Arial"/>
          <w:b/>
          <w:bCs/>
          <w:sz w:val="24"/>
          <w:szCs w:val="24"/>
        </w:rPr>
        <w:t xml:space="preserve">Background </w:t>
      </w:r>
    </w:p>
    <w:p w14:paraId="6CA08F6F" w14:textId="77777777" w:rsidR="009E0701" w:rsidRPr="00FE713F" w:rsidRDefault="009E0701" w:rsidP="009E0701">
      <w:pPr>
        <w:pStyle w:val="ListParagraph"/>
        <w:spacing w:after="0" w:line="240" w:lineRule="auto"/>
        <w:rPr>
          <w:rFonts w:ascii="Arial" w:hAnsi="Arial" w:cs="Arial"/>
          <w:b/>
          <w:bCs/>
          <w:sz w:val="24"/>
          <w:szCs w:val="24"/>
        </w:rPr>
      </w:pPr>
    </w:p>
    <w:p w14:paraId="3131B697" w14:textId="3DE24521" w:rsidR="0078225F" w:rsidRPr="004630DD" w:rsidRDefault="00F24C9A" w:rsidP="009E0701">
      <w:pPr>
        <w:spacing w:after="0" w:line="240" w:lineRule="auto"/>
        <w:rPr>
          <w:rFonts w:ascii="Arial" w:hAnsi="Arial" w:cs="Arial"/>
        </w:rPr>
      </w:pPr>
      <w:r w:rsidRPr="004630DD">
        <w:rPr>
          <w:rFonts w:ascii="Arial" w:hAnsi="Arial" w:cs="Arial"/>
        </w:rPr>
        <w:t xml:space="preserve">At present Client </w:t>
      </w:r>
      <w:r w:rsidR="0078225F" w:rsidRPr="004630DD">
        <w:rPr>
          <w:rFonts w:ascii="Arial" w:hAnsi="Arial" w:cs="Arial"/>
        </w:rPr>
        <w:t xml:space="preserve">currently accept and process card payments via various payment methods which includes but is not limited to telephone, face to face and internet payments. The infrastructure supporting card transactions and related reconciliations is complex and maintained by </w:t>
      </w:r>
      <w:r w:rsidR="00D9054F" w:rsidRPr="004630DD">
        <w:rPr>
          <w:rFonts w:ascii="Arial" w:hAnsi="Arial" w:cs="Arial"/>
        </w:rPr>
        <w:t xml:space="preserve">IT Assist </w:t>
      </w:r>
      <w:r w:rsidR="0078225F" w:rsidRPr="004630DD">
        <w:rPr>
          <w:rFonts w:ascii="Arial" w:hAnsi="Arial" w:cs="Arial"/>
        </w:rPr>
        <w:t>multiple</w:t>
      </w:r>
      <w:r w:rsidR="00D9054F" w:rsidRPr="004630DD">
        <w:rPr>
          <w:rFonts w:ascii="Arial" w:hAnsi="Arial" w:cs="Arial"/>
        </w:rPr>
        <w:t xml:space="preserve"> external </w:t>
      </w:r>
      <w:r w:rsidR="0078225F" w:rsidRPr="004630DD">
        <w:rPr>
          <w:rFonts w:ascii="Arial" w:hAnsi="Arial" w:cs="Arial"/>
        </w:rPr>
        <w:t>Suppliers</w:t>
      </w:r>
      <w:r w:rsidR="00D9054F" w:rsidRPr="004630DD">
        <w:rPr>
          <w:rFonts w:ascii="Arial" w:hAnsi="Arial" w:cs="Arial"/>
        </w:rPr>
        <w:t>.</w:t>
      </w:r>
      <w:r w:rsidR="0078225F" w:rsidRPr="004630DD">
        <w:rPr>
          <w:rFonts w:ascii="Arial" w:hAnsi="Arial" w:cs="Arial"/>
        </w:rPr>
        <w:t xml:space="preserve"> </w:t>
      </w:r>
    </w:p>
    <w:p w14:paraId="0579E8DC" w14:textId="77777777" w:rsidR="00F24C9A" w:rsidRPr="004630DD" w:rsidRDefault="00F24C9A" w:rsidP="009E0701">
      <w:pPr>
        <w:spacing w:after="0" w:line="240" w:lineRule="auto"/>
        <w:rPr>
          <w:rFonts w:ascii="Arial" w:hAnsi="Arial" w:cs="Arial"/>
        </w:rPr>
      </w:pPr>
    </w:p>
    <w:p w14:paraId="470AB8B7" w14:textId="7EA4065F" w:rsidR="00F24C9A" w:rsidRPr="004630DD" w:rsidRDefault="00F24C9A" w:rsidP="009E0701">
      <w:pPr>
        <w:spacing w:after="0" w:line="240" w:lineRule="auto"/>
        <w:rPr>
          <w:rFonts w:ascii="Arial" w:hAnsi="Arial" w:cs="Arial"/>
        </w:rPr>
      </w:pPr>
      <w:r w:rsidRPr="004630DD">
        <w:rPr>
          <w:rFonts w:ascii="Arial" w:hAnsi="Arial" w:cs="Arial"/>
        </w:rPr>
        <w:t>IT Assist</w:t>
      </w:r>
      <w:r w:rsidR="00D9054F" w:rsidRPr="004630DD">
        <w:rPr>
          <w:rFonts w:ascii="Arial" w:hAnsi="Arial" w:cs="Arial"/>
        </w:rPr>
        <w:t xml:space="preserve">, being a </w:t>
      </w:r>
      <w:r w:rsidR="00E5014F">
        <w:rPr>
          <w:rFonts w:ascii="Arial" w:hAnsi="Arial" w:cs="Arial"/>
        </w:rPr>
        <w:t>shared</w:t>
      </w:r>
      <w:r w:rsidR="00D9054F" w:rsidRPr="004630DD">
        <w:rPr>
          <w:rFonts w:ascii="Arial" w:hAnsi="Arial" w:cs="Arial"/>
        </w:rPr>
        <w:t xml:space="preserve"> service function and part of the Department of Finance,</w:t>
      </w:r>
      <w:r w:rsidRPr="004630DD">
        <w:rPr>
          <w:rFonts w:ascii="Arial" w:hAnsi="Arial" w:cs="Arial"/>
        </w:rPr>
        <w:t xml:space="preserve"> are responsible for the support and management of the Core IT Infrastructure Hardware platforms for NICS core departments (including Department of Justice organisations), to NDPBs and ALBs and to wider Public Sector organisations.  This environment includes the IT Assist Private Cloud environment, </w:t>
      </w:r>
      <w:r w:rsidR="00CE354A">
        <w:rPr>
          <w:rFonts w:ascii="Arial" w:hAnsi="Arial" w:cs="Arial"/>
        </w:rPr>
        <w:t xml:space="preserve">Public Cloud environments, </w:t>
      </w:r>
      <w:r w:rsidRPr="004630DD">
        <w:rPr>
          <w:rFonts w:ascii="Arial" w:hAnsi="Arial" w:cs="Arial"/>
        </w:rPr>
        <w:t>Public Sector Shared Data Centres, the network, Voice Storage and server infrastructure and equipment. This command is also responsible for the implementation, support and management of the NICS IT security infrastructure including firewalls, Secure Remote Access and Internet connectivity.</w:t>
      </w:r>
    </w:p>
    <w:p w14:paraId="6C4CE25D" w14:textId="77777777" w:rsidR="00F24C9A" w:rsidRPr="004630DD" w:rsidRDefault="00F24C9A" w:rsidP="009E0701">
      <w:pPr>
        <w:spacing w:after="0" w:line="240" w:lineRule="auto"/>
      </w:pPr>
    </w:p>
    <w:p w14:paraId="0CD277CA" w14:textId="31A1D5C3" w:rsidR="0078225F" w:rsidRPr="004630DD" w:rsidRDefault="00D9054F" w:rsidP="009E0701">
      <w:pPr>
        <w:spacing w:after="0" w:line="240" w:lineRule="auto"/>
        <w:rPr>
          <w:rFonts w:ascii="Arial" w:hAnsi="Arial" w:cs="Arial"/>
        </w:rPr>
      </w:pPr>
      <w:r w:rsidRPr="004630DD">
        <w:rPr>
          <w:rFonts w:ascii="Arial" w:hAnsi="Arial" w:cs="Arial"/>
        </w:rPr>
        <w:t xml:space="preserve">Clients </w:t>
      </w:r>
      <w:r w:rsidR="0078225F" w:rsidRPr="004630DD">
        <w:rPr>
          <w:rFonts w:ascii="Arial" w:hAnsi="Arial" w:cs="Arial"/>
        </w:rPr>
        <w:t xml:space="preserve">currently receive </w:t>
      </w:r>
      <w:r w:rsidR="00F24C9A" w:rsidRPr="004630DD">
        <w:rPr>
          <w:rFonts w:ascii="Arial" w:hAnsi="Arial" w:cs="Arial"/>
        </w:rPr>
        <w:t xml:space="preserve">Payment Acceptance / </w:t>
      </w:r>
      <w:r w:rsidR="0078225F" w:rsidRPr="004630DD">
        <w:rPr>
          <w:rFonts w:ascii="Arial" w:hAnsi="Arial" w:cs="Arial"/>
        </w:rPr>
        <w:t xml:space="preserve">Merchant Acquiring Services </w:t>
      </w:r>
      <w:r w:rsidR="00443FC3">
        <w:rPr>
          <w:rFonts w:ascii="Arial" w:hAnsi="Arial" w:cs="Arial"/>
        </w:rPr>
        <w:t xml:space="preserve">predominately </w:t>
      </w:r>
      <w:r w:rsidR="0078225F" w:rsidRPr="004630DD">
        <w:rPr>
          <w:rFonts w:ascii="Arial" w:hAnsi="Arial" w:cs="Arial"/>
        </w:rPr>
        <w:t>from Worldpay</w:t>
      </w:r>
      <w:r w:rsidR="00F24C9A" w:rsidRPr="004630DD">
        <w:rPr>
          <w:rFonts w:ascii="Arial" w:hAnsi="Arial" w:cs="Arial"/>
        </w:rPr>
        <w:t xml:space="preserve">. </w:t>
      </w:r>
    </w:p>
    <w:p w14:paraId="4AB4BAF2" w14:textId="77777777" w:rsidR="00D9054F" w:rsidRPr="004630DD" w:rsidRDefault="00D9054F" w:rsidP="009E0701">
      <w:pPr>
        <w:spacing w:after="0" w:line="240" w:lineRule="auto"/>
        <w:rPr>
          <w:rFonts w:ascii="Arial" w:hAnsi="Arial" w:cs="Arial"/>
        </w:rPr>
      </w:pPr>
    </w:p>
    <w:p w14:paraId="4CC7C77A" w14:textId="0165120F" w:rsidR="00D9054F" w:rsidRDefault="00D9054F" w:rsidP="009E0701">
      <w:pPr>
        <w:spacing w:after="0" w:line="240" w:lineRule="auto"/>
        <w:rPr>
          <w:rFonts w:ascii="Arial" w:hAnsi="Arial" w:cs="Arial"/>
        </w:rPr>
      </w:pPr>
      <w:r w:rsidRPr="004630DD">
        <w:rPr>
          <w:rFonts w:ascii="Arial" w:hAnsi="Arial" w:cs="Arial"/>
        </w:rPr>
        <w:t xml:space="preserve">Clients range between </w:t>
      </w:r>
      <w:r w:rsidR="00FE713F" w:rsidRPr="004630DD">
        <w:rPr>
          <w:rFonts w:ascii="Arial" w:hAnsi="Arial" w:cs="Arial"/>
        </w:rPr>
        <w:t>PCI D</w:t>
      </w:r>
      <w:r w:rsidR="00CE354A">
        <w:rPr>
          <w:rFonts w:ascii="Arial" w:hAnsi="Arial" w:cs="Arial"/>
        </w:rPr>
        <w:t>S</w:t>
      </w:r>
      <w:r w:rsidR="00FE713F" w:rsidRPr="004630DD">
        <w:rPr>
          <w:rFonts w:ascii="Arial" w:hAnsi="Arial" w:cs="Arial"/>
        </w:rPr>
        <w:t xml:space="preserve">S </w:t>
      </w:r>
      <w:r w:rsidRPr="004630DD">
        <w:rPr>
          <w:rFonts w:ascii="Arial" w:hAnsi="Arial" w:cs="Arial"/>
        </w:rPr>
        <w:t>merchant Level 2 to Level 4. At present there are no clients that fall into the categorisation of Level 1.</w:t>
      </w:r>
    </w:p>
    <w:p w14:paraId="5DE7E122" w14:textId="77777777" w:rsidR="009E0701" w:rsidRPr="004630DD" w:rsidRDefault="009E0701" w:rsidP="009E0701">
      <w:pPr>
        <w:spacing w:after="0" w:line="240" w:lineRule="auto"/>
        <w:rPr>
          <w:rFonts w:ascii="Arial" w:hAnsi="Arial" w:cs="Arial"/>
        </w:rPr>
      </w:pPr>
    </w:p>
    <w:p w14:paraId="182AACB2" w14:textId="77777777" w:rsidR="004630DD" w:rsidRPr="009E0701" w:rsidRDefault="004630DD" w:rsidP="009E0701">
      <w:pPr>
        <w:pStyle w:val="ListParagraph"/>
        <w:numPr>
          <w:ilvl w:val="0"/>
          <w:numId w:val="2"/>
        </w:numPr>
        <w:tabs>
          <w:tab w:val="left" w:pos="3360"/>
        </w:tabs>
        <w:spacing w:after="0" w:line="240" w:lineRule="auto"/>
        <w:jc w:val="both"/>
        <w:rPr>
          <w:rFonts w:cs="Arial"/>
        </w:rPr>
      </w:pPr>
      <w:r w:rsidRPr="004630DD">
        <w:rPr>
          <w:rFonts w:ascii="Arial" w:hAnsi="Arial" w:cs="Arial"/>
          <w:b/>
          <w:sz w:val="24"/>
        </w:rPr>
        <w:t>Duration of the Framework &amp; Call Off Contracts</w:t>
      </w:r>
    </w:p>
    <w:p w14:paraId="67BFC4CE" w14:textId="77777777" w:rsidR="009E0701" w:rsidRPr="004630DD" w:rsidRDefault="009E0701" w:rsidP="009E0701">
      <w:pPr>
        <w:pStyle w:val="ListParagraph"/>
        <w:tabs>
          <w:tab w:val="left" w:pos="3360"/>
        </w:tabs>
        <w:spacing w:after="0" w:line="240" w:lineRule="auto"/>
        <w:jc w:val="both"/>
        <w:rPr>
          <w:rFonts w:cs="Arial"/>
        </w:rPr>
      </w:pPr>
    </w:p>
    <w:p w14:paraId="69C9C479" w14:textId="49E4DEC0" w:rsidR="004630DD" w:rsidRPr="00E5014F" w:rsidRDefault="004630DD" w:rsidP="009E0701">
      <w:pPr>
        <w:tabs>
          <w:tab w:val="left" w:pos="3360"/>
        </w:tabs>
        <w:spacing w:after="0" w:line="240" w:lineRule="auto"/>
        <w:jc w:val="both"/>
        <w:rPr>
          <w:rFonts w:cs="Arial"/>
        </w:rPr>
      </w:pPr>
      <w:r w:rsidRPr="00E5014F">
        <w:rPr>
          <w:rFonts w:cs="Arial"/>
        </w:rPr>
        <w:t>This framework will be for a period of 4 years, which will allow Clients to establish contracts with the  Supplier to provide the services required.</w:t>
      </w:r>
    </w:p>
    <w:p w14:paraId="7E9840DE" w14:textId="77777777" w:rsidR="00892A34" w:rsidRPr="004630DD" w:rsidRDefault="00892A34" w:rsidP="009E0701">
      <w:pPr>
        <w:tabs>
          <w:tab w:val="left" w:pos="3360"/>
        </w:tabs>
        <w:spacing w:after="0" w:line="240" w:lineRule="auto"/>
        <w:jc w:val="both"/>
        <w:rPr>
          <w:rFonts w:cs="Arial"/>
        </w:rPr>
      </w:pPr>
    </w:p>
    <w:p w14:paraId="7C835329" w14:textId="41D40E58" w:rsidR="004630DD" w:rsidRPr="004630DD" w:rsidRDefault="004630DD" w:rsidP="009E0701">
      <w:pPr>
        <w:spacing w:after="0" w:line="240" w:lineRule="auto"/>
        <w:rPr>
          <w:rFonts w:cs="Arial"/>
        </w:rPr>
      </w:pPr>
      <w:r w:rsidRPr="004630DD">
        <w:rPr>
          <w:rFonts w:cs="Arial"/>
        </w:rPr>
        <w:t xml:space="preserve">Contracts will be awarded to the Supplier, following award of the Framework, on a Call-Off basis.   </w:t>
      </w:r>
    </w:p>
    <w:p w14:paraId="551A39BD" w14:textId="5AB0E5A1" w:rsidR="004630DD" w:rsidRDefault="004630DD" w:rsidP="009E0701">
      <w:pPr>
        <w:spacing w:after="0" w:line="240" w:lineRule="auto"/>
        <w:rPr>
          <w:rFonts w:cs="Arial"/>
        </w:rPr>
      </w:pPr>
      <w:r w:rsidRPr="004630DD">
        <w:rPr>
          <w:rFonts w:cs="Arial"/>
        </w:rPr>
        <w:lastRenderedPageBreak/>
        <w:t xml:space="preserve">The charges for the services for any Client under </w:t>
      </w:r>
      <w:r w:rsidR="00904872">
        <w:rPr>
          <w:rFonts w:cs="Arial"/>
        </w:rPr>
        <w:t xml:space="preserve">a Call Off Contact </w:t>
      </w:r>
      <w:r w:rsidRPr="004630DD">
        <w:rPr>
          <w:rFonts w:cs="Arial"/>
        </w:rPr>
        <w:t xml:space="preserve">must not exceed the charges as </w:t>
      </w:r>
      <w:r w:rsidR="00904872">
        <w:rPr>
          <w:rFonts w:cs="Arial"/>
        </w:rPr>
        <w:t xml:space="preserve">detailed in Annex 3 of the Short Form Contract. </w:t>
      </w:r>
    </w:p>
    <w:p w14:paraId="3E8344AA" w14:textId="77777777" w:rsidR="009E0701" w:rsidRPr="004630DD" w:rsidRDefault="009E0701" w:rsidP="009E0701">
      <w:pPr>
        <w:spacing w:after="0" w:line="240" w:lineRule="auto"/>
        <w:rPr>
          <w:rFonts w:cs="Arial"/>
          <w:b/>
        </w:rPr>
      </w:pPr>
    </w:p>
    <w:p w14:paraId="4160B47A" w14:textId="77777777" w:rsidR="004630DD" w:rsidRPr="009E0701" w:rsidRDefault="004630DD" w:rsidP="009E0701">
      <w:pPr>
        <w:pStyle w:val="ListParagraph"/>
        <w:numPr>
          <w:ilvl w:val="0"/>
          <w:numId w:val="2"/>
        </w:numPr>
        <w:spacing w:after="0" w:line="240" w:lineRule="auto"/>
        <w:rPr>
          <w:rFonts w:ascii="Arial" w:hAnsi="Arial" w:cs="Arial"/>
          <w:b/>
          <w:bCs/>
          <w:sz w:val="24"/>
          <w:szCs w:val="24"/>
        </w:rPr>
      </w:pPr>
      <w:r w:rsidRPr="00FE713F">
        <w:rPr>
          <w:rFonts w:ascii="Arial" w:hAnsi="Arial" w:cs="Arial"/>
          <w:b/>
          <w:bCs/>
          <w:sz w:val="24"/>
        </w:rPr>
        <w:t xml:space="preserve">Qualified Security Assessor (QSA) </w:t>
      </w:r>
    </w:p>
    <w:p w14:paraId="61B1F53F" w14:textId="77777777" w:rsidR="009E0701" w:rsidRPr="00FE713F" w:rsidRDefault="009E0701" w:rsidP="009E0701">
      <w:pPr>
        <w:pStyle w:val="ListParagraph"/>
        <w:spacing w:after="0" w:line="240" w:lineRule="auto"/>
        <w:rPr>
          <w:rFonts w:ascii="Arial" w:hAnsi="Arial" w:cs="Arial"/>
          <w:b/>
          <w:bCs/>
          <w:sz w:val="24"/>
          <w:szCs w:val="24"/>
        </w:rPr>
      </w:pPr>
    </w:p>
    <w:p w14:paraId="35F8718E" w14:textId="77777777" w:rsidR="004630DD" w:rsidRPr="004630DD" w:rsidRDefault="004630DD" w:rsidP="009E0701">
      <w:pPr>
        <w:spacing w:after="0" w:line="240" w:lineRule="auto"/>
        <w:rPr>
          <w:rFonts w:ascii="Arial" w:hAnsi="Arial" w:cs="Arial"/>
        </w:rPr>
      </w:pPr>
      <w:r w:rsidRPr="004630DD">
        <w:rPr>
          <w:rFonts w:ascii="Arial" w:hAnsi="Arial" w:cs="Arial"/>
        </w:rPr>
        <w:t xml:space="preserve">The Supplier must be an independent data security firm that has been qualified by the PCI Security Standards Council (the Council) to validate an entity’s adherence to PCI DSS. </w:t>
      </w:r>
    </w:p>
    <w:p w14:paraId="17292822" w14:textId="77777777" w:rsidR="004630DD" w:rsidRPr="004630DD" w:rsidRDefault="004630DD" w:rsidP="009E0701">
      <w:pPr>
        <w:spacing w:after="0" w:line="240" w:lineRule="auto"/>
        <w:rPr>
          <w:rFonts w:ascii="Arial" w:hAnsi="Arial" w:cs="Arial"/>
        </w:rPr>
      </w:pPr>
    </w:p>
    <w:p w14:paraId="20F56823" w14:textId="53883780" w:rsidR="004630DD" w:rsidRPr="004630DD" w:rsidRDefault="004630DD" w:rsidP="00CE354A">
      <w:pPr>
        <w:pStyle w:val="ListBullet"/>
        <w:numPr>
          <w:ilvl w:val="0"/>
          <w:numId w:val="0"/>
        </w:numPr>
        <w:rPr>
          <w:rFonts w:ascii="Arial" w:hAnsi="Arial" w:cs="Arial"/>
        </w:rPr>
      </w:pPr>
      <w:r w:rsidRPr="004630DD">
        <w:rPr>
          <w:rFonts w:ascii="Arial" w:hAnsi="Arial" w:cs="Arial"/>
        </w:rPr>
        <w:t>The Supplier’s QSA employees must have satisfied and continue to satisfy all QSA requirements to perform PCI DSS assessments, including certification and re-certification as required by the Council</w:t>
      </w:r>
      <w:r w:rsidR="00443FC3">
        <w:rPr>
          <w:rFonts w:ascii="Arial" w:hAnsi="Arial" w:cs="Arial"/>
        </w:rPr>
        <w:t xml:space="preserve">. It is also important that QSAs </w:t>
      </w:r>
      <w:r w:rsidRPr="004630DD">
        <w:rPr>
          <w:rFonts w:ascii="Arial" w:hAnsi="Arial" w:cs="Arial"/>
        </w:rPr>
        <w:t>maintai</w:t>
      </w:r>
      <w:r w:rsidR="00443FC3">
        <w:rPr>
          <w:rFonts w:ascii="Arial" w:hAnsi="Arial" w:cs="Arial"/>
        </w:rPr>
        <w:t>n</w:t>
      </w:r>
      <w:r w:rsidRPr="004630DD">
        <w:rPr>
          <w:rFonts w:ascii="Arial" w:hAnsi="Arial" w:cs="Arial"/>
        </w:rPr>
        <w:t xml:space="preserve"> an </w:t>
      </w:r>
      <w:r w:rsidR="00E5014F" w:rsidRPr="004630DD">
        <w:rPr>
          <w:rFonts w:ascii="Arial" w:hAnsi="Arial" w:cs="Arial"/>
        </w:rPr>
        <w:t>up-to-date</w:t>
      </w:r>
      <w:r w:rsidRPr="004630DD">
        <w:rPr>
          <w:rFonts w:ascii="Arial" w:hAnsi="Arial" w:cs="Arial"/>
        </w:rPr>
        <w:t xml:space="preserve"> knowledge of PCI DSS</w:t>
      </w:r>
      <w:r w:rsidR="00443FC3">
        <w:rPr>
          <w:rFonts w:ascii="Arial" w:hAnsi="Arial" w:cs="Arial"/>
        </w:rPr>
        <w:t xml:space="preserve"> updates and changes</w:t>
      </w:r>
      <w:r w:rsidR="00443FC3" w:rsidRPr="00443FC3">
        <w:rPr>
          <w:rFonts w:ascii="Arial" w:hAnsi="Arial" w:cs="Arial"/>
        </w:rPr>
        <w:t xml:space="preserve">, cybersecurity trends, </w:t>
      </w:r>
      <w:r w:rsidR="00CE354A">
        <w:rPr>
          <w:rFonts w:ascii="Arial" w:hAnsi="Arial" w:cs="Arial"/>
        </w:rPr>
        <w:t>r</w:t>
      </w:r>
      <w:r w:rsidR="00443FC3" w:rsidRPr="00443FC3">
        <w:rPr>
          <w:rFonts w:ascii="Arial" w:hAnsi="Arial" w:cs="Arial"/>
        </w:rPr>
        <w:t>egulatory changes</w:t>
      </w:r>
      <w:r w:rsidR="00CE354A">
        <w:rPr>
          <w:rFonts w:ascii="Arial" w:hAnsi="Arial" w:cs="Arial"/>
        </w:rPr>
        <w:t xml:space="preserve"> </w:t>
      </w:r>
      <w:r w:rsidRPr="004630DD">
        <w:rPr>
          <w:rFonts w:ascii="Arial" w:hAnsi="Arial" w:cs="Arial"/>
        </w:rPr>
        <w:t xml:space="preserve">and any </w:t>
      </w:r>
      <w:r w:rsidR="00CE354A">
        <w:rPr>
          <w:rFonts w:ascii="Arial" w:hAnsi="Arial" w:cs="Arial"/>
        </w:rPr>
        <w:t xml:space="preserve">other relevant </w:t>
      </w:r>
      <w:r w:rsidRPr="004630DD">
        <w:rPr>
          <w:rFonts w:ascii="Arial" w:hAnsi="Arial" w:cs="Arial"/>
        </w:rPr>
        <w:t>changes.</w:t>
      </w:r>
    </w:p>
    <w:p w14:paraId="01A8BAA5" w14:textId="77777777" w:rsidR="004630DD" w:rsidRPr="004630DD" w:rsidRDefault="004630DD" w:rsidP="009E0701">
      <w:pPr>
        <w:spacing w:after="0" w:line="240" w:lineRule="auto"/>
        <w:rPr>
          <w:rFonts w:ascii="Arial" w:hAnsi="Arial" w:cs="Arial"/>
        </w:rPr>
      </w:pPr>
    </w:p>
    <w:p w14:paraId="410CFAB2" w14:textId="3688A77C" w:rsidR="004630DD" w:rsidRPr="004630DD" w:rsidRDefault="004630DD" w:rsidP="009E0701">
      <w:pPr>
        <w:spacing w:after="0" w:line="240" w:lineRule="auto"/>
        <w:rPr>
          <w:rFonts w:ascii="Arial" w:hAnsi="Arial" w:cs="Arial"/>
        </w:rPr>
      </w:pPr>
      <w:r w:rsidRPr="004630DD">
        <w:rPr>
          <w:rFonts w:ascii="Arial" w:hAnsi="Arial" w:cs="Arial"/>
        </w:rPr>
        <w:t xml:space="preserve">The Supplier and it’s QSA </w:t>
      </w:r>
      <w:r w:rsidR="00CE354A">
        <w:rPr>
          <w:rFonts w:ascii="Arial" w:hAnsi="Arial" w:cs="Arial"/>
        </w:rPr>
        <w:t xml:space="preserve">certified </w:t>
      </w:r>
      <w:r w:rsidRPr="004630DD">
        <w:rPr>
          <w:rFonts w:ascii="Arial" w:hAnsi="Arial" w:cs="Arial"/>
        </w:rPr>
        <w:t xml:space="preserve">employees must be on the Council’s list of approved companies as published on the Council’s website </w:t>
      </w:r>
      <w:hyperlink r:id="rId7" w:history="1">
        <w:r w:rsidRPr="004630DD">
          <w:rPr>
            <w:rStyle w:val="Hyperlink"/>
            <w:rFonts w:ascii="Arial" w:hAnsi="Arial" w:cs="Arial"/>
          </w:rPr>
          <w:t>https://www.pcisecuritystandards.org/assessors_and_solutions/qualified_security_assessors</w:t>
        </w:r>
      </w:hyperlink>
      <w:r w:rsidRPr="004630DD">
        <w:rPr>
          <w:rFonts w:ascii="Arial" w:hAnsi="Arial" w:cs="Arial"/>
        </w:rPr>
        <w:t>.</w:t>
      </w:r>
    </w:p>
    <w:p w14:paraId="639FE995" w14:textId="77777777" w:rsidR="00FE713F" w:rsidRPr="00FE713F" w:rsidRDefault="00FE713F" w:rsidP="009E0701">
      <w:pPr>
        <w:spacing w:after="0" w:line="240" w:lineRule="auto"/>
        <w:rPr>
          <w:rFonts w:ascii="Arial" w:hAnsi="Arial" w:cs="Arial"/>
        </w:rPr>
      </w:pPr>
    </w:p>
    <w:p w14:paraId="08415965" w14:textId="1D71C7E0" w:rsidR="0078225F" w:rsidRDefault="0078225F" w:rsidP="009E0701">
      <w:pPr>
        <w:pStyle w:val="ListParagraph"/>
        <w:numPr>
          <w:ilvl w:val="0"/>
          <w:numId w:val="2"/>
        </w:numPr>
        <w:spacing w:after="0" w:line="240" w:lineRule="auto"/>
        <w:rPr>
          <w:rFonts w:ascii="Arial" w:hAnsi="Arial" w:cs="Arial"/>
          <w:b/>
          <w:bCs/>
          <w:sz w:val="24"/>
          <w:szCs w:val="24"/>
        </w:rPr>
      </w:pPr>
      <w:r w:rsidRPr="00FE713F">
        <w:rPr>
          <w:rFonts w:ascii="Arial" w:hAnsi="Arial" w:cs="Arial"/>
          <w:b/>
          <w:bCs/>
          <w:sz w:val="24"/>
          <w:szCs w:val="24"/>
        </w:rPr>
        <w:t xml:space="preserve">Scope of Contract </w:t>
      </w:r>
    </w:p>
    <w:p w14:paraId="2387485B" w14:textId="77777777" w:rsidR="009E0701" w:rsidRPr="00FE713F" w:rsidRDefault="009E0701" w:rsidP="009E0701">
      <w:pPr>
        <w:pStyle w:val="ListParagraph"/>
        <w:spacing w:after="0" w:line="240" w:lineRule="auto"/>
        <w:rPr>
          <w:rFonts w:ascii="Arial" w:hAnsi="Arial" w:cs="Arial"/>
          <w:b/>
          <w:bCs/>
          <w:sz w:val="24"/>
          <w:szCs w:val="24"/>
        </w:rPr>
      </w:pPr>
    </w:p>
    <w:p w14:paraId="21BEC2A3" w14:textId="6ED1939C" w:rsidR="00C63E06" w:rsidRPr="004630DD" w:rsidRDefault="00C63E06" w:rsidP="009E0701">
      <w:pPr>
        <w:spacing w:after="0" w:line="240" w:lineRule="auto"/>
        <w:rPr>
          <w:rFonts w:ascii="Arial" w:hAnsi="Arial" w:cs="Arial"/>
        </w:rPr>
      </w:pPr>
      <w:r w:rsidRPr="004630DD">
        <w:rPr>
          <w:rFonts w:ascii="Arial" w:hAnsi="Arial" w:cs="Arial"/>
        </w:rPr>
        <w:t>As and when required, t</w:t>
      </w:r>
      <w:r w:rsidR="0078225F" w:rsidRPr="004630DD">
        <w:rPr>
          <w:rFonts w:ascii="Arial" w:hAnsi="Arial" w:cs="Arial"/>
        </w:rPr>
        <w:t xml:space="preserve">he Supplier shall work with </w:t>
      </w:r>
      <w:r w:rsidRPr="004630DD">
        <w:rPr>
          <w:rFonts w:ascii="Arial" w:hAnsi="Arial" w:cs="Arial"/>
        </w:rPr>
        <w:t xml:space="preserve">the Client to </w:t>
      </w:r>
      <w:r w:rsidR="0078225F" w:rsidRPr="004630DD">
        <w:rPr>
          <w:rFonts w:ascii="Arial" w:hAnsi="Arial" w:cs="Arial"/>
        </w:rPr>
        <w:t xml:space="preserve">provide advice </w:t>
      </w:r>
      <w:r w:rsidRPr="004630DD">
        <w:rPr>
          <w:rFonts w:ascii="Arial" w:hAnsi="Arial" w:cs="Arial"/>
        </w:rPr>
        <w:t xml:space="preserve">and guidance in regard to </w:t>
      </w:r>
      <w:r w:rsidR="0078225F" w:rsidRPr="004630DD">
        <w:rPr>
          <w:rFonts w:ascii="Arial" w:hAnsi="Arial" w:cs="Arial"/>
        </w:rPr>
        <w:t>achiev</w:t>
      </w:r>
      <w:r w:rsidRPr="004630DD">
        <w:rPr>
          <w:rFonts w:ascii="Arial" w:hAnsi="Arial" w:cs="Arial"/>
        </w:rPr>
        <w:t>ing</w:t>
      </w:r>
      <w:r w:rsidR="0078225F" w:rsidRPr="004630DD">
        <w:rPr>
          <w:rFonts w:ascii="Arial" w:hAnsi="Arial" w:cs="Arial"/>
        </w:rPr>
        <w:t xml:space="preserve"> and maintain</w:t>
      </w:r>
      <w:r w:rsidR="00CE354A">
        <w:rPr>
          <w:rFonts w:ascii="Arial" w:hAnsi="Arial" w:cs="Arial"/>
        </w:rPr>
        <w:t>ing</w:t>
      </w:r>
      <w:r w:rsidR="0078225F" w:rsidRPr="004630DD">
        <w:rPr>
          <w:rFonts w:ascii="Arial" w:hAnsi="Arial" w:cs="Arial"/>
        </w:rPr>
        <w:t xml:space="preserve"> PCI DSS compliance</w:t>
      </w:r>
      <w:r w:rsidRPr="004630DD">
        <w:rPr>
          <w:rFonts w:ascii="Arial" w:hAnsi="Arial" w:cs="Arial"/>
        </w:rPr>
        <w:t xml:space="preserve">, </w:t>
      </w:r>
      <w:r w:rsidR="00443FC3">
        <w:rPr>
          <w:rFonts w:ascii="Arial" w:hAnsi="Arial" w:cs="Arial"/>
        </w:rPr>
        <w:t xml:space="preserve">in the main </w:t>
      </w:r>
      <w:r w:rsidRPr="004630DD">
        <w:rPr>
          <w:rFonts w:ascii="Arial" w:hAnsi="Arial" w:cs="Arial"/>
        </w:rPr>
        <w:t>currently via the Worldpay Safer payments portal.</w:t>
      </w:r>
    </w:p>
    <w:p w14:paraId="0D10C237" w14:textId="77777777" w:rsidR="00C63E06" w:rsidRDefault="00C63E06" w:rsidP="009E0701">
      <w:pPr>
        <w:spacing w:after="0" w:line="240" w:lineRule="auto"/>
        <w:rPr>
          <w:rFonts w:ascii="Arial" w:hAnsi="Arial" w:cs="Arial"/>
          <w:sz w:val="24"/>
          <w:szCs w:val="24"/>
        </w:rPr>
      </w:pPr>
    </w:p>
    <w:p w14:paraId="6642ECDE" w14:textId="6F1B9606" w:rsidR="009B27A4" w:rsidRPr="004630DD" w:rsidRDefault="00C63E06" w:rsidP="009E0701">
      <w:pPr>
        <w:spacing w:after="0" w:line="240" w:lineRule="auto"/>
        <w:rPr>
          <w:rFonts w:ascii="Arial" w:hAnsi="Arial" w:cs="Arial"/>
        </w:rPr>
      </w:pPr>
      <w:r w:rsidRPr="004630DD">
        <w:rPr>
          <w:rFonts w:ascii="Arial" w:hAnsi="Arial" w:cs="Arial"/>
        </w:rPr>
        <w:t xml:space="preserve">It should be noted that Clients means of receiving payments and </w:t>
      </w:r>
      <w:r w:rsidR="009B27A4" w:rsidRPr="004630DD">
        <w:rPr>
          <w:rFonts w:ascii="Arial" w:hAnsi="Arial" w:cs="Arial"/>
        </w:rPr>
        <w:t>infrastructure</w:t>
      </w:r>
      <w:r w:rsidRPr="004630DD">
        <w:rPr>
          <w:rFonts w:ascii="Arial" w:hAnsi="Arial" w:cs="Arial"/>
        </w:rPr>
        <w:t xml:space="preserve"> </w:t>
      </w:r>
      <w:r w:rsidR="009B27A4" w:rsidRPr="004630DD">
        <w:rPr>
          <w:rFonts w:ascii="Arial" w:hAnsi="Arial" w:cs="Arial"/>
        </w:rPr>
        <w:t>will differ and as such each call off contract will be tailored to meet the Clients specific needs. That said m</w:t>
      </w:r>
      <w:r w:rsidRPr="004630DD">
        <w:rPr>
          <w:rFonts w:ascii="Arial" w:hAnsi="Arial" w:cs="Arial"/>
        </w:rPr>
        <w:t xml:space="preserve">any of the issues </w:t>
      </w:r>
      <w:r w:rsidR="009B27A4" w:rsidRPr="004630DD">
        <w:rPr>
          <w:rFonts w:ascii="Arial" w:hAnsi="Arial" w:cs="Arial"/>
        </w:rPr>
        <w:t>being</w:t>
      </w:r>
      <w:r w:rsidRPr="004630DD">
        <w:rPr>
          <w:rFonts w:ascii="Arial" w:hAnsi="Arial" w:cs="Arial"/>
        </w:rPr>
        <w:t xml:space="preserve"> encountered may be of a similar nature and </w:t>
      </w:r>
      <w:r w:rsidR="009B27A4" w:rsidRPr="004630DD">
        <w:rPr>
          <w:rFonts w:ascii="Arial" w:hAnsi="Arial" w:cs="Arial"/>
        </w:rPr>
        <w:t>experience and resolutions are to be shared between Clients. As such it is important that a limited number of QSA’s are provided to deliver the requirements to ensure shared learning is maximised.</w:t>
      </w:r>
    </w:p>
    <w:p w14:paraId="2993BA36" w14:textId="77777777" w:rsidR="009B27A4" w:rsidRPr="004630DD" w:rsidRDefault="009B27A4" w:rsidP="009E0701">
      <w:pPr>
        <w:spacing w:after="0" w:line="240" w:lineRule="auto"/>
      </w:pPr>
    </w:p>
    <w:p w14:paraId="4A1A6171" w14:textId="1847743F" w:rsidR="009B27A4" w:rsidRPr="004630DD" w:rsidRDefault="009B27A4" w:rsidP="009E0701">
      <w:pPr>
        <w:spacing w:after="0" w:line="240" w:lineRule="auto"/>
        <w:rPr>
          <w:rFonts w:ascii="Arial" w:hAnsi="Arial" w:cs="Arial"/>
        </w:rPr>
      </w:pPr>
      <w:r w:rsidRPr="004630DD">
        <w:rPr>
          <w:rFonts w:ascii="Arial" w:hAnsi="Arial" w:cs="Arial"/>
        </w:rPr>
        <w:t>Whilst not exhaustive, Clients may request the following services :</w:t>
      </w:r>
    </w:p>
    <w:p w14:paraId="5DABDFE6" w14:textId="77777777" w:rsidR="00CE354A" w:rsidRPr="004630DD" w:rsidRDefault="009B27A4" w:rsidP="00CE354A">
      <w:pPr>
        <w:pStyle w:val="ListParagraph"/>
        <w:numPr>
          <w:ilvl w:val="0"/>
          <w:numId w:val="7"/>
        </w:numPr>
        <w:spacing w:after="0" w:line="240" w:lineRule="auto"/>
        <w:rPr>
          <w:rFonts w:ascii="Arial" w:hAnsi="Arial" w:cs="Arial"/>
        </w:rPr>
      </w:pPr>
      <w:r w:rsidRPr="004630DD">
        <w:rPr>
          <w:rFonts w:ascii="Arial" w:hAnsi="Arial" w:cs="Arial"/>
        </w:rPr>
        <w:t xml:space="preserve">provide support and guidance during the compliance process </w:t>
      </w:r>
      <w:r w:rsidR="00CE354A">
        <w:rPr>
          <w:rFonts w:ascii="Arial" w:hAnsi="Arial" w:cs="Arial"/>
        </w:rPr>
        <w:t>including interpretation of requirements applicability and implementation</w:t>
      </w:r>
    </w:p>
    <w:p w14:paraId="510F267A" w14:textId="486D119D" w:rsidR="009B27A4" w:rsidRPr="004630DD" w:rsidRDefault="009B27A4" w:rsidP="009E0701">
      <w:pPr>
        <w:pStyle w:val="ListParagraph"/>
        <w:numPr>
          <w:ilvl w:val="0"/>
          <w:numId w:val="7"/>
        </w:numPr>
        <w:spacing w:after="0" w:line="240" w:lineRule="auto"/>
        <w:rPr>
          <w:rFonts w:ascii="Arial" w:hAnsi="Arial" w:cs="Arial"/>
        </w:rPr>
      </w:pPr>
      <w:r w:rsidRPr="004630DD">
        <w:rPr>
          <w:rFonts w:ascii="Arial" w:hAnsi="Arial" w:cs="Arial"/>
        </w:rPr>
        <w:t xml:space="preserve">be online / onsite for the duration of the assessment as required </w:t>
      </w:r>
    </w:p>
    <w:p w14:paraId="4D440A16" w14:textId="01C0F735" w:rsidR="009B27A4" w:rsidRPr="004630DD" w:rsidRDefault="009B27A4" w:rsidP="009E0701">
      <w:pPr>
        <w:pStyle w:val="ListParagraph"/>
        <w:numPr>
          <w:ilvl w:val="0"/>
          <w:numId w:val="7"/>
        </w:numPr>
        <w:spacing w:after="0" w:line="240" w:lineRule="auto"/>
        <w:rPr>
          <w:rFonts w:ascii="Arial" w:hAnsi="Arial" w:cs="Arial"/>
        </w:rPr>
      </w:pPr>
      <w:r w:rsidRPr="004630DD">
        <w:rPr>
          <w:rFonts w:ascii="Arial" w:hAnsi="Arial" w:cs="Arial"/>
        </w:rPr>
        <w:t xml:space="preserve">adhere to the PCIDSS Security Assessment Procedures </w:t>
      </w:r>
    </w:p>
    <w:p w14:paraId="4643B9D2" w14:textId="16C60EDF" w:rsidR="009B27A4" w:rsidRPr="004630DD" w:rsidRDefault="009B27A4" w:rsidP="009E0701">
      <w:pPr>
        <w:pStyle w:val="ListParagraph"/>
        <w:numPr>
          <w:ilvl w:val="0"/>
          <w:numId w:val="7"/>
        </w:numPr>
        <w:spacing w:after="0" w:line="240" w:lineRule="auto"/>
        <w:rPr>
          <w:rFonts w:ascii="Arial" w:hAnsi="Arial" w:cs="Arial"/>
        </w:rPr>
      </w:pPr>
      <w:r w:rsidRPr="004630DD">
        <w:rPr>
          <w:rFonts w:ascii="Arial" w:hAnsi="Arial" w:cs="Arial"/>
        </w:rPr>
        <w:t xml:space="preserve">validate the scope of the assessment </w:t>
      </w:r>
    </w:p>
    <w:p w14:paraId="555994E8" w14:textId="45E4C26C" w:rsidR="00CE354A" w:rsidRPr="004630DD" w:rsidRDefault="00CE354A" w:rsidP="00CE354A">
      <w:pPr>
        <w:pStyle w:val="ListParagraph"/>
        <w:numPr>
          <w:ilvl w:val="0"/>
          <w:numId w:val="7"/>
        </w:numPr>
        <w:spacing w:after="0" w:line="240" w:lineRule="auto"/>
        <w:rPr>
          <w:rFonts w:ascii="Arial" w:hAnsi="Arial" w:cs="Arial"/>
        </w:rPr>
      </w:pPr>
      <w:r>
        <w:rPr>
          <w:rFonts w:ascii="Arial" w:hAnsi="Arial" w:cs="Arial"/>
        </w:rPr>
        <w:t>advise on the application of, documentation of and evaluation of</w:t>
      </w:r>
      <w:r w:rsidRPr="004630DD">
        <w:rPr>
          <w:rFonts w:ascii="Arial" w:hAnsi="Arial" w:cs="Arial"/>
        </w:rPr>
        <w:t xml:space="preserve"> compensating controls</w:t>
      </w:r>
    </w:p>
    <w:p w14:paraId="3F105A8F" w14:textId="6C7FFC01" w:rsidR="009B27A4" w:rsidRPr="004630DD" w:rsidRDefault="009B27A4" w:rsidP="009E0701">
      <w:pPr>
        <w:pStyle w:val="ListParagraph"/>
        <w:numPr>
          <w:ilvl w:val="0"/>
          <w:numId w:val="7"/>
        </w:numPr>
        <w:spacing w:after="0" w:line="240" w:lineRule="auto"/>
        <w:rPr>
          <w:rFonts w:ascii="Arial" w:hAnsi="Arial" w:cs="Arial"/>
        </w:rPr>
      </w:pPr>
      <w:r w:rsidRPr="004630DD">
        <w:rPr>
          <w:rFonts w:ascii="Arial" w:hAnsi="Arial" w:cs="Arial"/>
        </w:rPr>
        <w:t xml:space="preserve">produce the final report </w:t>
      </w:r>
      <w:r w:rsidR="00CE354A">
        <w:rPr>
          <w:rFonts w:ascii="Arial" w:hAnsi="Arial" w:cs="Arial"/>
        </w:rPr>
        <w:t>(s) e.g. SAQs, AOC’s, CCW’s etc</w:t>
      </w:r>
    </w:p>
    <w:p w14:paraId="48B3D497" w14:textId="417B1AD1" w:rsidR="009B27A4" w:rsidRPr="004630DD" w:rsidRDefault="009B27A4" w:rsidP="009E0701">
      <w:pPr>
        <w:pStyle w:val="ListParagraph"/>
        <w:numPr>
          <w:ilvl w:val="0"/>
          <w:numId w:val="7"/>
        </w:numPr>
        <w:spacing w:after="0" w:line="240" w:lineRule="auto"/>
        <w:rPr>
          <w:rFonts w:ascii="Arial" w:hAnsi="Arial" w:cs="Arial"/>
        </w:rPr>
      </w:pPr>
      <w:r w:rsidRPr="004630DD">
        <w:rPr>
          <w:rFonts w:ascii="Arial" w:hAnsi="Arial" w:cs="Arial"/>
        </w:rPr>
        <w:t xml:space="preserve">provide ongoing support, training and advice to Clients on an ad hoc basis over the duration of the contract </w:t>
      </w:r>
    </w:p>
    <w:p w14:paraId="1A83C4D8" w14:textId="70E75DD6" w:rsidR="0078225F" w:rsidRPr="004630DD" w:rsidRDefault="0078225F" w:rsidP="009E0701">
      <w:pPr>
        <w:pStyle w:val="ListParagraph"/>
        <w:numPr>
          <w:ilvl w:val="0"/>
          <w:numId w:val="7"/>
        </w:numPr>
        <w:spacing w:after="0" w:line="240" w:lineRule="auto"/>
        <w:rPr>
          <w:rFonts w:ascii="Arial" w:hAnsi="Arial" w:cs="Arial"/>
        </w:rPr>
      </w:pPr>
      <w:r w:rsidRPr="004630DD">
        <w:rPr>
          <w:rFonts w:ascii="Arial" w:hAnsi="Arial" w:cs="Arial"/>
        </w:rPr>
        <w:t xml:space="preserve">perform a PCI DSS security assessment of the MoJ cardholder data environment, report on findings and provide recommendations on remedial action to be taken to work towards achieving PCI DSS compliance based on the current PCI standards requirements as published on the PCI DSS council’s website at </w:t>
      </w:r>
      <w:hyperlink r:id="rId8" w:history="1">
        <w:r w:rsidRPr="004630DD">
          <w:rPr>
            <w:rFonts w:ascii="Arial" w:hAnsi="Arial" w:cs="Arial"/>
          </w:rPr>
          <w:t>https://www.pcisecuritystandards.org/pci_security/maintaining_payment_security</w:t>
        </w:r>
      </w:hyperlink>
      <w:r w:rsidRPr="004630DD">
        <w:rPr>
          <w:rFonts w:ascii="Arial" w:hAnsi="Arial" w:cs="Arial"/>
        </w:rPr>
        <w:t xml:space="preserve"> </w:t>
      </w:r>
    </w:p>
    <w:p w14:paraId="2BE021A9" w14:textId="5F14B44F" w:rsidR="0078225F" w:rsidRPr="004630DD" w:rsidRDefault="0078225F" w:rsidP="009E0701">
      <w:pPr>
        <w:pStyle w:val="ListParagraph"/>
        <w:numPr>
          <w:ilvl w:val="0"/>
          <w:numId w:val="7"/>
        </w:numPr>
        <w:spacing w:after="0" w:line="240" w:lineRule="auto"/>
        <w:rPr>
          <w:rFonts w:ascii="Arial" w:hAnsi="Arial" w:cs="Arial"/>
        </w:rPr>
      </w:pPr>
      <w:r w:rsidRPr="004630DD">
        <w:rPr>
          <w:rFonts w:ascii="Arial" w:hAnsi="Arial" w:cs="Arial"/>
        </w:rPr>
        <w:t>analyse and review policies and procedures to identify existing gaps and risks that may lead to non-compliance with PCI DSS</w:t>
      </w:r>
    </w:p>
    <w:p w14:paraId="660E0788" w14:textId="6B0F8449" w:rsidR="0078225F" w:rsidRPr="004630DD" w:rsidRDefault="0078225F" w:rsidP="009E0701">
      <w:pPr>
        <w:pStyle w:val="ListParagraph"/>
        <w:numPr>
          <w:ilvl w:val="0"/>
          <w:numId w:val="7"/>
        </w:numPr>
        <w:spacing w:after="0" w:line="240" w:lineRule="auto"/>
        <w:rPr>
          <w:rFonts w:ascii="Arial" w:hAnsi="Arial" w:cs="Arial"/>
        </w:rPr>
      </w:pPr>
      <w:r w:rsidRPr="004630DD">
        <w:rPr>
          <w:rFonts w:ascii="Arial" w:hAnsi="Arial" w:cs="Arial"/>
        </w:rPr>
        <w:t xml:space="preserve">examine the compliance of system components and networks that are in scope following the testing procedures for each PCI DSS requirement listed as published at </w:t>
      </w:r>
      <w:hyperlink r:id="rId9" w:history="1">
        <w:r w:rsidRPr="004630DD">
          <w:rPr>
            <w:rFonts w:ascii="Arial" w:hAnsi="Arial" w:cs="Arial"/>
          </w:rPr>
          <w:t>https://www.pcisecuritystandards.org/pci_security/maintaining_payment_security</w:t>
        </w:r>
      </w:hyperlink>
    </w:p>
    <w:p w14:paraId="16A663DF" w14:textId="57CDFA87" w:rsidR="0078225F" w:rsidRPr="004630DD" w:rsidRDefault="0078225F" w:rsidP="009E0701">
      <w:pPr>
        <w:pStyle w:val="ListParagraph"/>
        <w:numPr>
          <w:ilvl w:val="0"/>
          <w:numId w:val="7"/>
        </w:numPr>
        <w:spacing w:after="0" w:line="240" w:lineRule="auto"/>
        <w:rPr>
          <w:rFonts w:ascii="Arial" w:hAnsi="Arial" w:cs="Arial"/>
        </w:rPr>
      </w:pPr>
      <w:r w:rsidRPr="004630DD">
        <w:rPr>
          <w:rFonts w:ascii="Arial" w:hAnsi="Arial" w:cs="Arial"/>
        </w:rPr>
        <w:t>provide advice on the use of the prioritised approach and achievement of milestones 1 to 6 (as per the PCI DSS Council checklist)</w:t>
      </w:r>
    </w:p>
    <w:p w14:paraId="639BFAB7" w14:textId="0128B6A8" w:rsidR="0078225F" w:rsidRPr="004630DD" w:rsidRDefault="0078225F" w:rsidP="009E0701">
      <w:pPr>
        <w:pStyle w:val="ListParagraph"/>
        <w:numPr>
          <w:ilvl w:val="0"/>
          <w:numId w:val="7"/>
        </w:numPr>
        <w:spacing w:after="0" w:line="240" w:lineRule="auto"/>
        <w:rPr>
          <w:rFonts w:ascii="Arial" w:hAnsi="Arial" w:cs="Arial"/>
        </w:rPr>
      </w:pPr>
      <w:r w:rsidRPr="004630DD">
        <w:rPr>
          <w:rFonts w:ascii="Arial" w:hAnsi="Arial" w:cs="Arial"/>
        </w:rPr>
        <w:lastRenderedPageBreak/>
        <w:t>provide ad-hoc advice on the impact of changes to PCI DSS requirements and actions required to remain compliant</w:t>
      </w:r>
    </w:p>
    <w:p w14:paraId="57F3BEC5" w14:textId="570014BD" w:rsidR="0078225F" w:rsidRPr="004630DD" w:rsidRDefault="0078225F" w:rsidP="009E0701">
      <w:pPr>
        <w:pStyle w:val="ListParagraph"/>
        <w:numPr>
          <w:ilvl w:val="0"/>
          <w:numId w:val="7"/>
        </w:numPr>
        <w:spacing w:after="0" w:line="240" w:lineRule="auto"/>
        <w:rPr>
          <w:rFonts w:ascii="Arial" w:hAnsi="Arial" w:cs="Arial"/>
        </w:rPr>
      </w:pPr>
      <w:r w:rsidRPr="004630DD">
        <w:rPr>
          <w:rFonts w:ascii="Arial" w:hAnsi="Arial" w:cs="Arial"/>
        </w:rPr>
        <w:t>review and analyse data and evidence from quarterly network scans, penetration testing and other security reports</w:t>
      </w:r>
    </w:p>
    <w:p w14:paraId="298C6A4F" w14:textId="5BB93520" w:rsidR="007A662A" w:rsidRPr="004630DD" w:rsidRDefault="007A662A" w:rsidP="009E0701">
      <w:pPr>
        <w:pStyle w:val="ListParagraph"/>
        <w:numPr>
          <w:ilvl w:val="0"/>
          <w:numId w:val="7"/>
        </w:numPr>
        <w:spacing w:after="0" w:line="240" w:lineRule="auto"/>
        <w:rPr>
          <w:rFonts w:ascii="Arial" w:hAnsi="Arial" w:cs="Arial"/>
        </w:rPr>
      </w:pPr>
      <w:r w:rsidRPr="004630DD">
        <w:rPr>
          <w:rFonts w:ascii="Arial" w:hAnsi="Arial" w:cs="Arial"/>
        </w:rPr>
        <w:t xml:space="preserve">assistance in creating an FAQ document to </w:t>
      </w:r>
      <w:r w:rsidR="00443FC3">
        <w:rPr>
          <w:rFonts w:ascii="Arial" w:hAnsi="Arial" w:cs="Arial"/>
        </w:rPr>
        <w:t xml:space="preserve">share lessons learnt </w:t>
      </w:r>
    </w:p>
    <w:p w14:paraId="7552B650" w14:textId="0F4982AD" w:rsidR="007A662A" w:rsidRDefault="007A662A" w:rsidP="009E0701">
      <w:pPr>
        <w:pStyle w:val="ListParagraph"/>
        <w:numPr>
          <w:ilvl w:val="0"/>
          <w:numId w:val="7"/>
        </w:numPr>
        <w:spacing w:after="0" w:line="240" w:lineRule="auto"/>
        <w:rPr>
          <w:rFonts w:ascii="Arial" w:hAnsi="Arial" w:cs="Arial"/>
        </w:rPr>
      </w:pPr>
      <w:r w:rsidRPr="004630DD">
        <w:rPr>
          <w:rFonts w:ascii="Arial" w:hAnsi="Arial" w:cs="Arial"/>
        </w:rPr>
        <w:t xml:space="preserve">providing an update on status of attainment </w:t>
      </w:r>
    </w:p>
    <w:p w14:paraId="43389DD5" w14:textId="6DB51CEE" w:rsidR="00CE354A" w:rsidRPr="004630DD" w:rsidRDefault="00CE354A" w:rsidP="00CE354A">
      <w:pPr>
        <w:pStyle w:val="ListParagraph"/>
        <w:numPr>
          <w:ilvl w:val="0"/>
          <w:numId w:val="7"/>
        </w:numPr>
        <w:spacing w:after="0" w:line="240" w:lineRule="auto"/>
        <w:rPr>
          <w:rFonts w:ascii="Arial" w:hAnsi="Arial" w:cs="Arial"/>
        </w:rPr>
      </w:pPr>
      <w:r>
        <w:rPr>
          <w:rFonts w:ascii="Arial" w:hAnsi="Arial" w:cs="Arial"/>
        </w:rPr>
        <w:t>review third party supplier documentation as it pertains to PCI DSS</w:t>
      </w:r>
    </w:p>
    <w:p w14:paraId="1188ABEF" w14:textId="642AFD3A" w:rsidR="00CE354A" w:rsidRPr="004630DD" w:rsidRDefault="00CE354A" w:rsidP="00CE354A">
      <w:pPr>
        <w:pStyle w:val="ListParagraph"/>
        <w:spacing w:after="0" w:line="240" w:lineRule="auto"/>
        <w:rPr>
          <w:rFonts w:ascii="Arial" w:hAnsi="Arial" w:cs="Arial"/>
        </w:rPr>
      </w:pPr>
    </w:p>
    <w:p w14:paraId="36BA0A11" w14:textId="77777777" w:rsidR="004630DD" w:rsidRPr="004630DD" w:rsidRDefault="004630DD" w:rsidP="009E0701">
      <w:pPr>
        <w:pStyle w:val="ListParagraph"/>
        <w:spacing w:after="0" w:line="240" w:lineRule="auto"/>
        <w:rPr>
          <w:rFonts w:ascii="Arial" w:hAnsi="Arial" w:cs="Arial"/>
          <w:sz w:val="24"/>
          <w:szCs w:val="24"/>
        </w:rPr>
      </w:pPr>
    </w:p>
    <w:p w14:paraId="0621A564" w14:textId="2A3347BE" w:rsidR="0078225F" w:rsidRDefault="0078225F" w:rsidP="009E0701">
      <w:pPr>
        <w:pStyle w:val="ListParagraph"/>
        <w:numPr>
          <w:ilvl w:val="0"/>
          <w:numId w:val="2"/>
        </w:numPr>
        <w:spacing w:after="0" w:line="240" w:lineRule="auto"/>
        <w:rPr>
          <w:rFonts w:ascii="Arial" w:hAnsi="Arial" w:cs="Arial"/>
          <w:b/>
          <w:bCs/>
          <w:sz w:val="24"/>
          <w:szCs w:val="24"/>
        </w:rPr>
      </w:pPr>
      <w:bookmarkStart w:id="0" w:name="_Hlk219899058"/>
      <w:r w:rsidRPr="004630DD">
        <w:rPr>
          <w:rFonts w:ascii="Arial" w:hAnsi="Arial" w:cs="Arial"/>
          <w:b/>
          <w:bCs/>
          <w:sz w:val="24"/>
          <w:szCs w:val="24"/>
        </w:rPr>
        <w:t xml:space="preserve">Management and Administration </w:t>
      </w:r>
    </w:p>
    <w:p w14:paraId="5C57399A" w14:textId="77777777" w:rsidR="009E0701" w:rsidRPr="004630DD" w:rsidRDefault="009E0701" w:rsidP="009E0701">
      <w:pPr>
        <w:pStyle w:val="ListParagraph"/>
        <w:spacing w:after="0" w:line="240" w:lineRule="auto"/>
        <w:rPr>
          <w:rFonts w:ascii="Arial" w:hAnsi="Arial" w:cs="Arial"/>
          <w:b/>
          <w:bCs/>
          <w:sz w:val="24"/>
          <w:szCs w:val="24"/>
        </w:rPr>
      </w:pPr>
    </w:p>
    <w:p w14:paraId="50E3225B" w14:textId="383134B4" w:rsidR="0078225F" w:rsidRPr="004630DD" w:rsidRDefault="0078225F" w:rsidP="009E0701">
      <w:pPr>
        <w:spacing w:after="0" w:line="240" w:lineRule="auto"/>
        <w:rPr>
          <w:rFonts w:ascii="Arial" w:hAnsi="Arial" w:cs="Arial"/>
        </w:rPr>
      </w:pPr>
      <w:r w:rsidRPr="004630DD">
        <w:rPr>
          <w:rFonts w:ascii="Arial" w:hAnsi="Arial" w:cs="Arial"/>
        </w:rPr>
        <w:t xml:space="preserve">The Supplier shall appoint a contract manager who will be responsible for service delivery and act as a point of contact for the </w:t>
      </w:r>
      <w:r w:rsidR="007A662A" w:rsidRPr="004630DD">
        <w:rPr>
          <w:rFonts w:ascii="Arial" w:hAnsi="Arial" w:cs="Arial"/>
        </w:rPr>
        <w:t xml:space="preserve">framework </w:t>
      </w:r>
      <w:r w:rsidRPr="004630DD">
        <w:rPr>
          <w:rFonts w:ascii="Arial" w:hAnsi="Arial" w:cs="Arial"/>
        </w:rPr>
        <w:t>contract manager</w:t>
      </w:r>
      <w:r w:rsidR="00892A34">
        <w:rPr>
          <w:rFonts w:ascii="Arial" w:hAnsi="Arial" w:cs="Arial"/>
        </w:rPr>
        <w:t xml:space="preserve"> </w:t>
      </w:r>
      <w:bookmarkStart w:id="1" w:name="_Hlk219899117"/>
      <w:r w:rsidR="00892A34">
        <w:rPr>
          <w:rFonts w:ascii="Arial" w:hAnsi="Arial" w:cs="Arial"/>
        </w:rPr>
        <w:t xml:space="preserve">and the nominated representative for each Buyer that enters into a Call-Off Contract. </w:t>
      </w:r>
      <w:r w:rsidRPr="004630DD">
        <w:rPr>
          <w:rFonts w:ascii="Arial" w:hAnsi="Arial" w:cs="Arial"/>
        </w:rPr>
        <w:t xml:space="preserve"> </w:t>
      </w:r>
      <w:bookmarkEnd w:id="1"/>
    </w:p>
    <w:bookmarkEnd w:id="0"/>
    <w:p w14:paraId="0D786098" w14:textId="77777777" w:rsidR="004630DD" w:rsidRPr="004630DD" w:rsidRDefault="004630DD" w:rsidP="009E0701">
      <w:pPr>
        <w:spacing w:after="0" w:line="240" w:lineRule="auto"/>
        <w:rPr>
          <w:rFonts w:ascii="Arial" w:hAnsi="Arial" w:cs="Arial"/>
          <w:sz w:val="24"/>
          <w:szCs w:val="24"/>
        </w:rPr>
      </w:pPr>
    </w:p>
    <w:p w14:paraId="648724B6" w14:textId="0E29DFDD" w:rsidR="009E0701" w:rsidRPr="00CC7EB6" w:rsidRDefault="009E0701" w:rsidP="009E0701">
      <w:pPr>
        <w:pStyle w:val="ListParagraph"/>
        <w:numPr>
          <w:ilvl w:val="0"/>
          <w:numId w:val="2"/>
        </w:numPr>
        <w:spacing w:after="0" w:line="240" w:lineRule="auto"/>
        <w:rPr>
          <w:rFonts w:ascii="Arial" w:hAnsi="Arial" w:cs="Arial"/>
          <w:b/>
          <w:sz w:val="24"/>
          <w:u w:val="single"/>
        </w:rPr>
      </w:pPr>
      <w:bookmarkStart w:id="2" w:name="_Hlk219898953"/>
      <w:r w:rsidRPr="00CC7EB6">
        <w:rPr>
          <w:rFonts w:ascii="Arial" w:hAnsi="Arial" w:cs="Arial"/>
          <w:b/>
          <w:sz w:val="24"/>
        </w:rPr>
        <w:t>Management Information</w:t>
      </w:r>
    </w:p>
    <w:p w14:paraId="3D8B95ED" w14:textId="77777777" w:rsidR="009E0701" w:rsidRPr="00CC7EB6" w:rsidRDefault="009E0701" w:rsidP="009E0701">
      <w:pPr>
        <w:pStyle w:val="ListParagraph"/>
        <w:spacing w:after="0" w:line="240" w:lineRule="auto"/>
        <w:rPr>
          <w:rFonts w:ascii="Arial" w:hAnsi="Arial" w:cs="Arial"/>
          <w:b/>
          <w:sz w:val="24"/>
          <w:u w:val="single"/>
        </w:rPr>
      </w:pPr>
    </w:p>
    <w:p w14:paraId="7D89AA1C" w14:textId="6379C974" w:rsidR="009E0701" w:rsidRPr="00CC7EB6" w:rsidRDefault="009E0701" w:rsidP="009E0701">
      <w:pPr>
        <w:spacing w:after="0" w:line="240" w:lineRule="auto"/>
        <w:rPr>
          <w:rFonts w:ascii="Arial" w:hAnsi="Arial" w:cs="Arial"/>
          <w:snapToGrid w:val="0"/>
        </w:rPr>
      </w:pPr>
      <w:r w:rsidRPr="00CC7EB6">
        <w:rPr>
          <w:rFonts w:ascii="Arial" w:hAnsi="Arial" w:cs="Arial"/>
          <w:snapToGrid w:val="0"/>
        </w:rPr>
        <w:t xml:space="preserve">The Supplier must submit Framework management information to CPD </w:t>
      </w:r>
      <w:r w:rsidR="00CE354A">
        <w:rPr>
          <w:rFonts w:ascii="Arial" w:hAnsi="Arial" w:cs="Arial"/>
          <w:snapToGrid w:val="0"/>
        </w:rPr>
        <w:t xml:space="preserve">on </w:t>
      </w:r>
      <w:r w:rsidRPr="00CC7EB6">
        <w:rPr>
          <w:rFonts w:ascii="Arial" w:hAnsi="Arial" w:cs="Arial"/>
          <w:snapToGrid w:val="0"/>
        </w:rPr>
        <w:t>a quarterly basis.</w:t>
      </w:r>
    </w:p>
    <w:p w14:paraId="00E3ADAC" w14:textId="77777777" w:rsidR="009E0701" w:rsidRPr="00CC7EB6" w:rsidRDefault="009E0701" w:rsidP="009E0701">
      <w:pPr>
        <w:spacing w:after="0" w:line="240" w:lineRule="auto"/>
        <w:rPr>
          <w:rFonts w:ascii="Arial" w:hAnsi="Arial" w:cs="Arial"/>
          <w:snapToGrid w:val="0"/>
        </w:rPr>
      </w:pPr>
    </w:p>
    <w:p w14:paraId="2550028A" w14:textId="585413B0" w:rsidR="009E0701" w:rsidRPr="00CC7EB6" w:rsidRDefault="00CF52E8" w:rsidP="009E0701">
      <w:pPr>
        <w:spacing w:after="0" w:line="240" w:lineRule="auto"/>
        <w:rPr>
          <w:rFonts w:ascii="Arial" w:hAnsi="Arial" w:cs="Arial"/>
          <w:snapToGrid w:val="0"/>
        </w:rPr>
      </w:pPr>
      <w:r>
        <w:rPr>
          <w:rFonts w:ascii="Arial" w:eastAsia="Times New Roman" w:hAnsi="Arial" w:cs="Arial"/>
          <w:lang w:eastAsia="ar-SA"/>
        </w:rPr>
        <w:t>Management Information will also be required in relation to each Call Off Contract</w:t>
      </w:r>
      <w:r>
        <w:rPr>
          <w:rFonts w:ascii="Arial" w:hAnsi="Arial" w:cs="Arial"/>
          <w:snapToGrid w:val="0"/>
        </w:rPr>
        <w:t xml:space="preserve">. </w:t>
      </w:r>
      <w:r>
        <w:rPr>
          <w:rFonts w:ascii="Arial" w:eastAsia="Times New Roman" w:hAnsi="Arial" w:cs="Arial"/>
          <w:lang w:eastAsia="ar-SA"/>
        </w:rPr>
        <w:t xml:space="preserve">In this instance each entity that enters into a Call Off Contract will discuss and agree any management information required. </w:t>
      </w:r>
      <w:r w:rsidR="009E0701" w:rsidRPr="00CC7EB6">
        <w:rPr>
          <w:rFonts w:ascii="Arial" w:hAnsi="Arial" w:cs="Arial"/>
          <w:snapToGrid w:val="0"/>
        </w:rPr>
        <w:t xml:space="preserve">The content, format and style may be amended throughout the contract as required to suit specific needs. </w:t>
      </w:r>
      <w:r w:rsidR="009E0701" w:rsidRPr="00CC7EB6">
        <w:rPr>
          <w:rFonts w:ascii="Arial" w:eastAsia="Times New Roman" w:hAnsi="Arial" w:cs="Arial"/>
        </w:rPr>
        <w:t>T</w:t>
      </w:r>
      <w:r w:rsidR="009E0701" w:rsidRPr="00CC7EB6">
        <w:rPr>
          <w:rFonts w:ascii="Arial" w:eastAsia="Times New Roman" w:hAnsi="Arial" w:cs="Arial"/>
          <w:lang w:eastAsia="ar-SA"/>
        </w:rPr>
        <w:t xml:space="preserve">ypical </w:t>
      </w:r>
      <w:r w:rsidR="009E0701" w:rsidRPr="00CC7EB6">
        <w:rPr>
          <w:rFonts w:ascii="Arial" w:hAnsi="Arial" w:cs="Arial"/>
          <w:snapToGrid w:val="0"/>
        </w:rPr>
        <w:t>management information</w:t>
      </w:r>
      <w:r w:rsidR="009E0701" w:rsidRPr="00CC7EB6">
        <w:rPr>
          <w:rFonts w:ascii="Arial" w:eastAsia="Times New Roman" w:hAnsi="Arial" w:cs="Arial"/>
          <w:lang w:eastAsia="ar-SA"/>
        </w:rPr>
        <w:t xml:space="preserve"> required, by Client</w:t>
      </w:r>
      <w:r w:rsidR="00CE354A">
        <w:rPr>
          <w:rFonts w:ascii="Arial" w:eastAsia="Times New Roman" w:hAnsi="Arial" w:cs="Arial"/>
          <w:lang w:eastAsia="ar-SA"/>
        </w:rPr>
        <w:t>s</w:t>
      </w:r>
      <w:r w:rsidR="009E0701" w:rsidRPr="00CC7EB6">
        <w:rPr>
          <w:rFonts w:ascii="Arial" w:eastAsia="Times New Roman" w:hAnsi="Arial" w:cs="Arial"/>
          <w:lang w:eastAsia="ar-SA"/>
        </w:rPr>
        <w:t xml:space="preserve"> must include, but is not restricted to: </w:t>
      </w:r>
    </w:p>
    <w:p w14:paraId="097E201C" w14:textId="77777777" w:rsidR="009E0701" w:rsidRPr="00CC7EB6" w:rsidRDefault="009E0701" w:rsidP="009E0701">
      <w:pPr>
        <w:pStyle w:val="ListParagraph"/>
        <w:numPr>
          <w:ilvl w:val="0"/>
          <w:numId w:val="9"/>
        </w:numPr>
        <w:suppressAutoHyphens/>
        <w:overflowPunct w:val="0"/>
        <w:autoSpaceDE w:val="0"/>
        <w:autoSpaceDN w:val="0"/>
        <w:adjustRightInd w:val="0"/>
        <w:spacing w:after="0" w:line="240" w:lineRule="auto"/>
        <w:ind w:left="1985" w:hanging="567"/>
        <w:jc w:val="both"/>
        <w:textAlignment w:val="baseline"/>
        <w:rPr>
          <w:rFonts w:ascii="Arial" w:eastAsia="Times New Roman" w:hAnsi="Arial" w:cs="Arial"/>
          <w:lang w:eastAsia="ar-SA"/>
        </w:rPr>
      </w:pPr>
      <w:r w:rsidRPr="00CC7EB6">
        <w:rPr>
          <w:rFonts w:ascii="Arial" w:eastAsia="Times New Roman" w:hAnsi="Arial" w:cs="Arial"/>
          <w:lang w:eastAsia="ar-SA"/>
        </w:rPr>
        <w:t>name of Client;</w:t>
      </w:r>
    </w:p>
    <w:p w14:paraId="46A27996" w14:textId="758D6960" w:rsidR="009E0701" w:rsidRPr="00CC7EB6" w:rsidRDefault="009E0701" w:rsidP="009E0701">
      <w:pPr>
        <w:pStyle w:val="ListParagraph"/>
        <w:numPr>
          <w:ilvl w:val="0"/>
          <w:numId w:val="9"/>
        </w:numPr>
        <w:tabs>
          <w:tab w:val="right" w:pos="1134"/>
        </w:tabs>
        <w:suppressAutoHyphens/>
        <w:overflowPunct w:val="0"/>
        <w:autoSpaceDE w:val="0"/>
        <w:autoSpaceDN w:val="0"/>
        <w:adjustRightInd w:val="0"/>
        <w:spacing w:after="0" w:line="240" w:lineRule="auto"/>
        <w:ind w:left="1985" w:hanging="567"/>
        <w:jc w:val="both"/>
        <w:textAlignment w:val="baseline"/>
        <w:rPr>
          <w:rFonts w:ascii="Arial" w:eastAsia="Times New Roman" w:hAnsi="Arial" w:cs="Arial"/>
          <w:lang w:eastAsia="ar-SA"/>
        </w:rPr>
      </w:pPr>
      <w:r w:rsidRPr="00CC7EB6">
        <w:rPr>
          <w:rFonts w:ascii="Arial" w:eastAsia="Times New Roman" w:hAnsi="Arial" w:cs="Arial"/>
          <w:lang w:eastAsia="ar-SA"/>
        </w:rPr>
        <w:t>overview of work undertaken;</w:t>
      </w:r>
    </w:p>
    <w:p w14:paraId="621F37CC" w14:textId="3F043468" w:rsidR="009E0701" w:rsidRPr="00CC7EB6" w:rsidRDefault="009E0701" w:rsidP="009E0701">
      <w:pPr>
        <w:pStyle w:val="ListParagraph"/>
        <w:numPr>
          <w:ilvl w:val="0"/>
          <w:numId w:val="9"/>
        </w:numPr>
        <w:tabs>
          <w:tab w:val="right" w:pos="1134"/>
        </w:tabs>
        <w:suppressAutoHyphens/>
        <w:overflowPunct w:val="0"/>
        <w:autoSpaceDE w:val="0"/>
        <w:autoSpaceDN w:val="0"/>
        <w:adjustRightInd w:val="0"/>
        <w:spacing w:after="0" w:line="240" w:lineRule="auto"/>
        <w:ind w:left="1985" w:hanging="567"/>
        <w:jc w:val="both"/>
        <w:textAlignment w:val="baseline"/>
        <w:rPr>
          <w:rFonts w:ascii="Arial" w:eastAsia="Times New Roman" w:hAnsi="Arial" w:cs="Arial"/>
          <w:lang w:eastAsia="ar-SA"/>
        </w:rPr>
      </w:pPr>
      <w:r w:rsidRPr="00CC7EB6">
        <w:rPr>
          <w:rFonts w:ascii="Arial" w:eastAsia="Times New Roman" w:hAnsi="Arial" w:cs="Arial"/>
          <w:lang w:eastAsia="ar-SA"/>
        </w:rPr>
        <w:t>number of days work completed per month per Client;</w:t>
      </w:r>
    </w:p>
    <w:p w14:paraId="0F5E7885" w14:textId="3E826526" w:rsidR="009E0701" w:rsidRPr="00CC7EB6" w:rsidRDefault="009E0701" w:rsidP="009E0701">
      <w:pPr>
        <w:pStyle w:val="ListParagraph"/>
        <w:numPr>
          <w:ilvl w:val="0"/>
          <w:numId w:val="9"/>
        </w:numPr>
        <w:tabs>
          <w:tab w:val="right" w:pos="1134"/>
        </w:tabs>
        <w:suppressAutoHyphens/>
        <w:overflowPunct w:val="0"/>
        <w:autoSpaceDE w:val="0"/>
        <w:autoSpaceDN w:val="0"/>
        <w:adjustRightInd w:val="0"/>
        <w:spacing w:after="0" w:line="240" w:lineRule="auto"/>
        <w:ind w:left="1985" w:hanging="567"/>
        <w:jc w:val="both"/>
        <w:textAlignment w:val="baseline"/>
        <w:rPr>
          <w:rFonts w:ascii="Arial" w:eastAsia="Times New Roman" w:hAnsi="Arial" w:cs="Arial"/>
          <w:lang w:eastAsia="ar-SA"/>
        </w:rPr>
      </w:pPr>
      <w:r w:rsidRPr="00CC7EB6">
        <w:rPr>
          <w:rFonts w:ascii="Arial" w:eastAsia="Times New Roman" w:hAnsi="Arial" w:cs="Arial"/>
          <w:lang w:eastAsia="ar-SA"/>
        </w:rPr>
        <w:t>charges applied per Client;</w:t>
      </w:r>
    </w:p>
    <w:p w14:paraId="72FA17FF" w14:textId="75CD3668" w:rsidR="00CC7EB6" w:rsidRDefault="00CC7EB6" w:rsidP="00CC7EB6">
      <w:pPr>
        <w:tabs>
          <w:tab w:val="right" w:pos="1134"/>
        </w:tabs>
        <w:suppressAutoHyphens/>
        <w:overflowPunct w:val="0"/>
        <w:autoSpaceDE w:val="0"/>
        <w:autoSpaceDN w:val="0"/>
        <w:adjustRightInd w:val="0"/>
        <w:spacing w:after="0" w:line="240" w:lineRule="auto"/>
        <w:jc w:val="both"/>
        <w:textAlignment w:val="baseline"/>
        <w:rPr>
          <w:rFonts w:ascii="Arial" w:eastAsia="Times New Roman" w:hAnsi="Arial" w:cs="Arial"/>
          <w:lang w:eastAsia="ar-SA"/>
        </w:rPr>
      </w:pPr>
    </w:p>
    <w:p w14:paraId="2548E188" w14:textId="4C9A88F9" w:rsidR="00CC7EB6" w:rsidRDefault="00CC7EB6" w:rsidP="00CC7EB6">
      <w:pPr>
        <w:pStyle w:val="ListParagraph"/>
        <w:numPr>
          <w:ilvl w:val="0"/>
          <w:numId w:val="2"/>
        </w:numPr>
        <w:spacing w:after="0" w:line="240" w:lineRule="auto"/>
        <w:rPr>
          <w:rFonts w:ascii="Arial" w:hAnsi="Arial" w:cs="Arial"/>
          <w:b/>
          <w:sz w:val="24"/>
        </w:rPr>
      </w:pPr>
      <w:bookmarkStart w:id="3" w:name="_Hlk219971126"/>
      <w:r w:rsidRPr="00CC7EB6">
        <w:rPr>
          <w:rFonts w:ascii="Arial" w:hAnsi="Arial" w:cs="Arial"/>
          <w:b/>
          <w:sz w:val="24"/>
        </w:rPr>
        <w:t xml:space="preserve">Performance Management </w:t>
      </w:r>
    </w:p>
    <w:p w14:paraId="1C350644" w14:textId="77777777" w:rsidR="006D55F2" w:rsidRPr="006D55F2" w:rsidRDefault="006D55F2" w:rsidP="006D55F2">
      <w:pPr>
        <w:spacing w:after="0" w:line="240" w:lineRule="auto"/>
        <w:ind w:left="360"/>
        <w:rPr>
          <w:rFonts w:ascii="Arial" w:hAnsi="Arial" w:cs="Arial"/>
          <w:b/>
          <w:sz w:val="24"/>
        </w:rPr>
      </w:pPr>
    </w:p>
    <w:bookmarkEnd w:id="3"/>
    <w:p w14:paraId="5980C949" w14:textId="77777777" w:rsidR="006D55F2" w:rsidRPr="006D55F2" w:rsidRDefault="006D55F2" w:rsidP="006D55F2">
      <w:pPr>
        <w:tabs>
          <w:tab w:val="left" w:pos="3360"/>
        </w:tabs>
        <w:rPr>
          <w:rFonts w:ascii="Arial" w:hAnsi="Arial" w:cs="Arial"/>
        </w:rPr>
      </w:pPr>
      <w:r w:rsidRPr="006D55F2">
        <w:rPr>
          <w:rFonts w:ascii="Arial" w:hAnsi="Arial" w:cs="Arial"/>
        </w:rPr>
        <w:t>Entities that enter into a Call Off Contract will be responsible for their own daily contract management. If the issue cannot be resolved at this level, it should be escalated to CPD for intervention and resolution.</w:t>
      </w:r>
    </w:p>
    <w:p w14:paraId="3CB6E756" w14:textId="206B6241" w:rsidR="006D55F2" w:rsidRPr="006D55F2" w:rsidRDefault="006D55F2" w:rsidP="006D55F2">
      <w:pPr>
        <w:tabs>
          <w:tab w:val="left" w:pos="3360"/>
        </w:tabs>
        <w:rPr>
          <w:rFonts w:ascii="Arial" w:hAnsi="Arial" w:cs="Arial"/>
        </w:rPr>
      </w:pPr>
      <w:bookmarkStart w:id="4" w:name="_Hlk219973294"/>
      <w:r w:rsidRPr="006D55F2">
        <w:rPr>
          <w:rFonts w:ascii="Arial" w:hAnsi="Arial" w:cs="Arial"/>
        </w:rPr>
        <w:t>Supplier performance across the framework will also be monitored annually using the supplier assessment form (CMO1 form</w:t>
      </w:r>
      <w:r w:rsidR="00432444">
        <w:rPr>
          <w:rFonts w:ascii="Arial" w:hAnsi="Arial" w:cs="Arial"/>
        </w:rPr>
        <w:t xml:space="preserve"> provided at Annex A</w:t>
      </w:r>
      <w:r w:rsidRPr="006D55F2">
        <w:rPr>
          <w:rFonts w:ascii="Arial" w:hAnsi="Arial" w:cs="Arial"/>
        </w:rPr>
        <w:t>). Th</w:t>
      </w:r>
      <w:r w:rsidR="00CF52E8">
        <w:rPr>
          <w:rFonts w:ascii="Arial" w:hAnsi="Arial" w:cs="Arial"/>
        </w:rPr>
        <w:t xml:space="preserve">is form </w:t>
      </w:r>
      <w:r w:rsidRPr="006D55F2">
        <w:rPr>
          <w:rFonts w:ascii="Arial" w:hAnsi="Arial" w:cs="Arial"/>
        </w:rPr>
        <w:t xml:space="preserve">will be issued to those </w:t>
      </w:r>
      <w:r w:rsidR="00432444">
        <w:rPr>
          <w:rFonts w:ascii="Arial" w:hAnsi="Arial" w:cs="Arial"/>
        </w:rPr>
        <w:t xml:space="preserve">entities </w:t>
      </w:r>
      <w:r w:rsidRPr="006D55F2">
        <w:rPr>
          <w:rFonts w:ascii="Arial" w:hAnsi="Arial" w:cs="Arial"/>
        </w:rPr>
        <w:t>availing of the framework and will be collated by CPD</w:t>
      </w:r>
      <w:r w:rsidR="00432444">
        <w:rPr>
          <w:rFonts w:ascii="Arial" w:hAnsi="Arial" w:cs="Arial"/>
        </w:rPr>
        <w:t xml:space="preserve">. An annual meeting will take place with CPD and the Supplier to review performance of the framework and an oversight of the collated performance review forms will be issued to the supplier in advance of any such meeting. </w:t>
      </w:r>
      <w:r w:rsidRPr="006D55F2">
        <w:rPr>
          <w:rFonts w:ascii="Arial" w:hAnsi="Arial" w:cs="Arial"/>
        </w:rPr>
        <w:t xml:space="preserve"> </w:t>
      </w:r>
    </w:p>
    <w:bookmarkEnd w:id="2"/>
    <w:bookmarkEnd w:id="4"/>
    <w:p w14:paraId="39B14956" w14:textId="77777777" w:rsidR="009E0701" w:rsidRPr="009E0701" w:rsidRDefault="009E0701" w:rsidP="009E0701">
      <w:pPr>
        <w:tabs>
          <w:tab w:val="right" w:pos="1134"/>
        </w:tabs>
        <w:suppressAutoHyphens/>
        <w:overflowPunct w:val="0"/>
        <w:autoSpaceDE w:val="0"/>
        <w:autoSpaceDN w:val="0"/>
        <w:adjustRightInd w:val="0"/>
        <w:spacing w:after="0" w:line="240" w:lineRule="auto"/>
        <w:jc w:val="both"/>
        <w:textAlignment w:val="baseline"/>
        <w:rPr>
          <w:rFonts w:ascii="Arial" w:eastAsia="Times New Roman" w:hAnsi="Arial" w:cs="Arial"/>
          <w:lang w:eastAsia="ar-SA"/>
        </w:rPr>
      </w:pPr>
    </w:p>
    <w:p w14:paraId="76F4DDD0" w14:textId="77777777" w:rsidR="009E0701" w:rsidRPr="009E0701" w:rsidRDefault="009E0701" w:rsidP="009E0701">
      <w:pPr>
        <w:pStyle w:val="ListParagraph"/>
        <w:numPr>
          <w:ilvl w:val="0"/>
          <w:numId w:val="2"/>
        </w:numPr>
        <w:spacing w:after="0" w:line="240" w:lineRule="auto"/>
        <w:rPr>
          <w:rFonts w:ascii="Arial" w:hAnsi="Arial" w:cs="Arial"/>
          <w:b/>
          <w:bCs/>
          <w:sz w:val="24"/>
          <w:szCs w:val="24"/>
        </w:rPr>
      </w:pPr>
      <w:r w:rsidRPr="009E0701">
        <w:rPr>
          <w:rFonts w:ascii="Arial" w:hAnsi="Arial" w:cs="Arial"/>
          <w:b/>
          <w:bCs/>
          <w:sz w:val="24"/>
          <w:szCs w:val="24"/>
        </w:rPr>
        <w:t>Fair Work</w:t>
      </w:r>
    </w:p>
    <w:p w14:paraId="2AEE657B" w14:textId="77777777" w:rsidR="009E0701" w:rsidRPr="000A7FF6" w:rsidRDefault="009E0701" w:rsidP="009E0701">
      <w:pPr>
        <w:spacing w:after="0" w:line="240" w:lineRule="auto"/>
        <w:rPr>
          <w:rFonts w:ascii="Arial" w:hAnsi="Arial" w:cs="Arial"/>
          <w:sz w:val="24"/>
          <w:szCs w:val="24"/>
        </w:rPr>
      </w:pPr>
    </w:p>
    <w:p w14:paraId="16B7EF56" w14:textId="77777777" w:rsidR="009E0701" w:rsidRDefault="009E0701" w:rsidP="009E0701">
      <w:pPr>
        <w:spacing w:after="0" w:line="240" w:lineRule="auto"/>
        <w:rPr>
          <w:rFonts w:ascii="Arial" w:hAnsi="Arial" w:cs="Arial"/>
        </w:rPr>
      </w:pPr>
      <w:bookmarkStart w:id="5" w:name="_Hlk149561164"/>
      <w:r w:rsidRPr="009E0701">
        <w:rPr>
          <w:rFonts w:ascii="Arial" w:hAnsi="Arial" w:cs="Arial"/>
        </w:rPr>
        <w:t xml:space="preserve">On 5 July 2021 the Northern Ireland Executive approved a revised policy on Scoring Social Value. The policy is set out in </w:t>
      </w:r>
      <w:hyperlink r:id="rId10" w:history="1">
        <w:r w:rsidRPr="009E0701">
          <w:rPr>
            <w:rStyle w:val="Hyperlink"/>
            <w:rFonts w:ascii="Arial" w:hAnsi="Arial" w:cs="Arial"/>
          </w:rPr>
          <w:t>Procurement Policy Note 01/21 - Scoring Social Value</w:t>
        </w:r>
      </w:hyperlink>
      <w:r w:rsidRPr="009E0701">
        <w:rPr>
          <w:rFonts w:ascii="Arial" w:hAnsi="Arial" w:cs="Arial"/>
        </w:rPr>
        <w:t xml:space="preserve">.  This new policy requires, from the 1 September 2021, the following requirements to be incorporated into all government contracts: </w:t>
      </w:r>
    </w:p>
    <w:p w14:paraId="35154441" w14:textId="77777777" w:rsidR="009E0701" w:rsidRPr="009E0701" w:rsidRDefault="009E0701" w:rsidP="009E0701">
      <w:pPr>
        <w:spacing w:after="0" w:line="240" w:lineRule="auto"/>
        <w:rPr>
          <w:rFonts w:ascii="Arial" w:hAnsi="Arial" w:cs="Arial"/>
        </w:rPr>
      </w:pPr>
    </w:p>
    <w:p w14:paraId="29656CF1" w14:textId="77777777" w:rsidR="009E0701" w:rsidRPr="009E0701" w:rsidRDefault="009E0701" w:rsidP="009E0701">
      <w:pPr>
        <w:pStyle w:val="ListParagraph"/>
        <w:numPr>
          <w:ilvl w:val="0"/>
          <w:numId w:val="11"/>
        </w:numPr>
        <w:spacing w:after="0" w:line="240" w:lineRule="auto"/>
        <w:ind w:left="342" w:hanging="284"/>
        <w:rPr>
          <w:rFonts w:ascii="Arial" w:hAnsi="Arial" w:cs="Arial"/>
        </w:rPr>
      </w:pPr>
      <w:r w:rsidRPr="009E0701">
        <w:rPr>
          <w:rFonts w:ascii="Arial" w:hAnsi="Arial" w:cs="Arial"/>
        </w:rPr>
        <w:t xml:space="preserve">compliance with relevant employment, equality and health and safety law and human rights standards; </w:t>
      </w:r>
    </w:p>
    <w:p w14:paraId="331123F5" w14:textId="77777777" w:rsidR="009E0701" w:rsidRPr="009E0701" w:rsidRDefault="009E0701" w:rsidP="009E0701">
      <w:pPr>
        <w:pStyle w:val="ListParagraph"/>
        <w:numPr>
          <w:ilvl w:val="0"/>
          <w:numId w:val="11"/>
        </w:numPr>
        <w:spacing w:after="0" w:line="240" w:lineRule="auto"/>
        <w:ind w:left="342" w:hanging="284"/>
        <w:rPr>
          <w:rFonts w:ascii="Arial" w:hAnsi="Arial" w:cs="Arial"/>
        </w:rPr>
      </w:pPr>
      <w:r w:rsidRPr="009E0701">
        <w:rPr>
          <w:rFonts w:ascii="Arial" w:hAnsi="Arial" w:cs="Arial"/>
        </w:rPr>
        <w:t xml:space="preserve">adherence to relevant collective agreements; and </w:t>
      </w:r>
    </w:p>
    <w:p w14:paraId="339D2FA4" w14:textId="77777777" w:rsidR="009E0701" w:rsidRDefault="009E0701" w:rsidP="009E0701">
      <w:pPr>
        <w:pStyle w:val="ListParagraph"/>
        <w:numPr>
          <w:ilvl w:val="0"/>
          <w:numId w:val="11"/>
        </w:numPr>
        <w:spacing w:after="0" w:line="240" w:lineRule="auto"/>
        <w:ind w:left="342" w:hanging="284"/>
        <w:rPr>
          <w:rFonts w:ascii="Arial" w:hAnsi="Arial" w:cs="Arial"/>
        </w:rPr>
      </w:pPr>
      <w:r w:rsidRPr="009E0701">
        <w:rPr>
          <w:rFonts w:ascii="Arial" w:hAnsi="Arial" w:cs="Arial"/>
        </w:rPr>
        <w:t>adoption of fair work practices for all workers engaged in the delivery of the contract.</w:t>
      </w:r>
    </w:p>
    <w:p w14:paraId="6AABE6EA" w14:textId="77777777" w:rsidR="009E0701" w:rsidRPr="009E0701" w:rsidRDefault="009E0701" w:rsidP="009E0701">
      <w:pPr>
        <w:pStyle w:val="ListParagraph"/>
        <w:spacing w:after="0" w:line="240" w:lineRule="auto"/>
        <w:ind w:left="342"/>
        <w:rPr>
          <w:rFonts w:ascii="Arial" w:hAnsi="Arial" w:cs="Arial"/>
        </w:rPr>
      </w:pPr>
    </w:p>
    <w:p w14:paraId="303984EA" w14:textId="77777777" w:rsidR="009E0701" w:rsidRPr="009E0701" w:rsidRDefault="009E0701" w:rsidP="009E0701">
      <w:pPr>
        <w:spacing w:after="0" w:line="240" w:lineRule="auto"/>
        <w:rPr>
          <w:rFonts w:ascii="Arial" w:hAnsi="Arial" w:cs="Arial"/>
        </w:rPr>
      </w:pPr>
      <w:r w:rsidRPr="009E0701">
        <w:rPr>
          <w:rFonts w:ascii="Arial" w:hAnsi="Arial" w:cs="Arial"/>
        </w:rPr>
        <w:lastRenderedPageBreak/>
        <w:t>There is a growing body of evidence about the importance of fair work practices and its impact on employees, employers and economic performance. Fair work plays a key role in supporting the positive behaviours and attitudes of employees that can lead to improved business performance, innovation and productivity, and can lead to better quality jobs.</w:t>
      </w:r>
    </w:p>
    <w:p w14:paraId="29ACD2C9" w14:textId="77777777" w:rsidR="009E0701" w:rsidRPr="009E0701" w:rsidRDefault="009E0701" w:rsidP="009E0701">
      <w:pPr>
        <w:spacing w:after="0" w:line="240" w:lineRule="auto"/>
        <w:ind w:right="66"/>
        <w:rPr>
          <w:rFonts w:ascii="Arial" w:hAnsi="Arial" w:cs="Arial"/>
        </w:rPr>
      </w:pPr>
    </w:p>
    <w:p w14:paraId="661F3153" w14:textId="77777777" w:rsidR="009E0701" w:rsidRPr="009E0701" w:rsidRDefault="009E0701" w:rsidP="009E0701">
      <w:pPr>
        <w:spacing w:after="0" w:line="240" w:lineRule="auto"/>
        <w:ind w:right="66"/>
        <w:rPr>
          <w:rFonts w:ascii="Arial" w:hAnsi="Arial" w:cs="Arial"/>
        </w:rPr>
      </w:pPr>
      <w:r w:rsidRPr="009E0701">
        <w:rPr>
          <w:rFonts w:ascii="Arial" w:hAnsi="Arial" w:cs="Arial"/>
        </w:rPr>
        <w:t xml:space="preserve">Fair work practices should be respected by Suppliers that deliver public contracts, including sub-contractors.  Suppliers should be able to demonstrate that they are good employers who have policies that adopt fair work practices for all workers engaged on delivering the contract.  </w:t>
      </w:r>
    </w:p>
    <w:p w14:paraId="55B421DB" w14:textId="77777777" w:rsidR="009E0701" w:rsidRPr="009E0701" w:rsidRDefault="009E0701" w:rsidP="009E0701">
      <w:pPr>
        <w:spacing w:after="0" w:line="240" w:lineRule="auto"/>
        <w:ind w:right="66"/>
        <w:rPr>
          <w:rFonts w:ascii="Arial" w:hAnsi="Arial" w:cs="Arial"/>
        </w:rPr>
      </w:pPr>
    </w:p>
    <w:p w14:paraId="7A83AD31" w14:textId="77777777" w:rsidR="009E0701" w:rsidRPr="009E0701" w:rsidRDefault="009E0701" w:rsidP="009E0701">
      <w:pPr>
        <w:spacing w:after="0" w:line="240" w:lineRule="auto"/>
        <w:rPr>
          <w:rFonts w:ascii="Arial" w:hAnsi="Arial" w:cs="Arial"/>
        </w:rPr>
      </w:pPr>
      <w:r w:rsidRPr="009E0701">
        <w:rPr>
          <w:rFonts w:ascii="Arial" w:hAnsi="Arial" w:cs="Arial"/>
        </w:rPr>
        <w:t>The Executive is committed to the delivery of high-quality public services and recognises that this is critically dependent on a workforce that is well rewarded, well-motivated, and has access to appropriate opportunities for training and skills development.</w:t>
      </w:r>
    </w:p>
    <w:p w14:paraId="44EF2681" w14:textId="0A8F9783" w:rsidR="0078225F" w:rsidRDefault="009E0701" w:rsidP="00892A34">
      <w:pPr>
        <w:spacing w:after="0" w:line="240" w:lineRule="auto"/>
        <w:ind w:right="66"/>
        <w:rPr>
          <w:rFonts w:ascii="Arial" w:hAnsi="Arial" w:cs="Arial"/>
        </w:rPr>
      </w:pPr>
      <w:proofErr w:type="gramStart"/>
      <w:r w:rsidRPr="009E0701">
        <w:rPr>
          <w:rFonts w:ascii="Arial" w:hAnsi="Arial" w:cs="Arial"/>
        </w:rPr>
        <w:t>In order to</w:t>
      </w:r>
      <w:proofErr w:type="gramEnd"/>
      <w:r w:rsidRPr="009E0701">
        <w:rPr>
          <w:rFonts w:ascii="Arial" w:hAnsi="Arial" w:cs="Arial"/>
        </w:rPr>
        <w:t xml:space="preserve"> ensure the highest standards of service quality in this contract we expect Suppliers to take a similarly positive approach to fair work practices. </w:t>
      </w:r>
      <w:bookmarkEnd w:id="5"/>
    </w:p>
    <w:p w14:paraId="6470E6CF" w14:textId="77777777" w:rsidR="00862CE8" w:rsidRDefault="00862CE8" w:rsidP="00892A34">
      <w:pPr>
        <w:spacing w:after="0" w:line="240" w:lineRule="auto"/>
        <w:ind w:right="66"/>
        <w:rPr>
          <w:rFonts w:ascii="Arial" w:hAnsi="Arial" w:cs="Arial"/>
        </w:rPr>
      </w:pPr>
    </w:p>
    <w:p w14:paraId="4DA4C924" w14:textId="510A7266" w:rsidR="00862CE8" w:rsidRPr="006A3075" w:rsidRDefault="00862CE8" w:rsidP="006A3075">
      <w:pPr>
        <w:pStyle w:val="ListParagraph"/>
        <w:numPr>
          <w:ilvl w:val="0"/>
          <w:numId w:val="2"/>
        </w:numPr>
        <w:spacing w:after="0" w:line="240" w:lineRule="auto"/>
        <w:rPr>
          <w:rFonts w:ascii="Arial" w:hAnsi="Arial" w:cs="Arial"/>
          <w:b/>
          <w:bCs/>
          <w:sz w:val="24"/>
          <w:szCs w:val="24"/>
        </w:rPr>
      </w:pPr>
      <w:r w:rsidRPr="006A3075">
        <w:rPr>
          <w:rFonts w:ascii="Arial" w:hAnsi="Arial" w:cs="Arial"/>
          <w:b/>
          <w:bCs/>
          <w:sz w:val="24"/>
          <w:szCs w:val="24"/>
        </w:rPr>
        <w:t xml:space="preserve">Social Value </w:t>
      </w:r>
    </w:p>
    <w:p w14:paraId="0885A806" w14:textId="77777777" w:rsidR="00862CE8" w:rsidRDefault="00862CE8" w:rsidP="00862CE8">
      <w:pPr>
        <w:spacing w:after="0" w:line="240" w:lineRule="auto"/>
        <w:ind w:right="66"/>
        <w:rPr>
          <w:rFonts w:ascii="Arial" w:hAnsi="Arial" w:cs="Arial"/>
        </w:rPr>
      </w:pPr>
    </w:p>
    <w:p w14:paraId="595AA0C4" w14:textId="77777777" w:rsidR="00862CE8" w:rsidRPr="00862CE8" w:rsidRDefault="00862CE8" w:rsidP="00862CE8">
      <w:pPr>
        <w:spacing w:after="0" w:line="240" w:lineRule="auto"/>
        <w:ind w:right="66"/>
        <w:rPr>
          <w:rFonts w:ascii="Arial" w:hAnsi="Arial" w:cs="Arial"/>
        </w:rPr>
      </w:pPr>
    </w:p>
    <w:p w14:paraId="7008C1AC" w14:textId="3779F892" w:rsidR="00862CE8" w:rsidRPr="00862CE8" w:rsidRDefault="00862CE8" w:rsidP="00862CE8">
      <w:pPr>
        <w:spacing w:after="0" w:line="240" w:lineRule="auto"/>
        <w:ind w:right="66"/>
        <w:rPr>
          <w:rFonts w:ascii="Arial" w:hAnsi="Arial" w:cs="Arial"/>
        </w:rPr>
      </w:pPr>
      <w:r w:rsidRPr="00862CE8">
        <w:rPr>
          <w:rFonts w:ascii="Arial" w:hAnsi="Arial" w:cs="Arial"/>
        </w:rPr>
        <w:t xml:space="preserve">From 1 April 2025, DoF </w:t>
      </w:r>
      <w:r>
        <w:rPr>
          <w:rFonts w:ascii="Arial" w:hAnsi="Arial" w:cs="Arial"/>
        </w:rPr>
        <w:t xml:space="preserve">require </w:t>
      </w:r>
      <w:r w:rsidRPr="00862CE8">
        <w:rPr>
          <w:rFonts w:ascii="Arial" w:hAnsi="Arial" w:cs="Arial"/>
        </w:rPr>
        <w:t>contractors to develop a staff well-being framework to ensure staff have access to appropriate support and well-being services</w:t>
      </w:r>
      <w:r>
        <w:rPr>
          <w:rFonts w:ascii="Arial" w:hAnsi="Arial" w:cs="Arial"/>
        </w:rPr>
        <w:t xml:space="preserve">, see </w:t>
      </w:r>
      <w:hyperlink r:id="rId11" w:history="1">
        <w:r w:rsidRPr="00862CE8">
          <w:rPr>
            <w:rStyle w:val="Hyperlink"/>
            <w:rFonts w:ascii="Arial" w:hAnsi="Arial" w:cs="Arial"/>
          </w:rPr>
          <w:t>DoF Social Value Strategy</w:t>
        </w:r>
      </w:hyperlink>
      <w:r w:rsidRPr="00862CE8">
        <w:rPr>
          <w:rFonts w:ascii="Arial" w:hAnsi="Arial" w:cs="Arial"/>
        </w:rPr>
        <w:t xml:space="preserve"> page 16</w:t>
      </w:r>
      <w:r>
        <w:rPr>
          <w:rFonts w:ascii="Arial" w:hAnsi="Arial" w:cs="Arial"/>
        </w:rPr>
        <w:t>. The Supplier must have this is place no later than 6 months from the award of the Framework.</w:t>
      </w:r>
      <w:r w:rsidRPr="00862CE8">
        <w:rPr>
          <w:rFonts w:ascii="Arial" w:hAnsi="Arial" w:cs="Arial"/>
        </w:rPr>
        <w:t xml:space="preserve"> </w:t>
      </w:r>
    </w:p>
    <w:p w14:paraId="6FC91717" w14:textId="77777777" w:rsidR="00862CE8" w:rsidRPr="00862CE8" w:rsidRDefault="00862CE8" w:rsidP="00862CE8">
      <w:pPr>
        <w:spacing w:after="0" w:line="240" w:lineRule="auto"/>
        <w:ind w:right="66"/>
        <w:rPr>
          <w:rFonts w:ascii="Arial" w:hAnsi="Arial" w:cs="Arial"/>
        </w:rPr>
      </w:pPr>
    </w:p>
    <w:p w14:paraId="37E16215" w14:textId="34C5E072" w:rsidR="00D2049F" w:rsidRDefault="00D2049F">
      <w:pPr>
        <w:rPr>
          <w:rFonts w:ascii="Arial" w:hAnsi="Arial" w:cs="Arial"/>
        </w:rPr>
      </w:pPr>
      <w:r>
        <w:rPr>
          <w:rFonts w:ascii="Arial" w:hAnsi="Arial" w:cs="Arial"/>
        </w:rPr>
        <w:br w:type="page"/>
      </w:r>
    </w:p>
    <w:p w14:paraId="0185C34F" w14:textId="77777777" w:rsidR="00432444" w:rsidRDefault="00432444" w:rsidP="00892A34">
      <w:pPr>
        <w:spacing w:after="0" w:line="240" w:lineRule="auto"/>
        <w:ind w:right="66"/>
        <w:rPr>
          <w:rFonts w:ascii="Arial" w:hAnsi="Arial" w:cs="Arial"/>
        </w:rPr>
        <w:sectPr w:rsidR="00432444" w:rsidSect="00892A34">
          <w:pgSz w:w="11906" w:h="16838"/>
          <w:pgMar w:top="1440" w:right="1440" w:bottom="1440" w:left="1134" w:header="709" w:footer="709" w:gutter="0"/>
          <w:cols w:space="708"/>
          <w:docGrid w:linePitch="360"/>
        </w:sectPr>
      </w:pPr>
    </w:p>
    <w:p w14:paraId="05291021" w14:textId="44CF4DFB" w:rsidR="00432444" w:rsidRDefault="00B87C85" w:rsidP="004324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ontserrat" w:hAnsi="Montserrat" w:cs="Arial"/>
          <w:b/>
          <w:bCs/>
          <w:snapToGrid w:val="0"/>
          <w:color w:val="000000"/>
        </w:rPr>
      </w:pPr>
      <w:r w:rsidRPr="006620ED">
        <w:rPr>
          <w:rFonts w:ascii="Montserrat" w:hAnsi="Montserrat"/>
          <w:noProof/>
          <w:u w:val="single"/>
          <w:lang w:eastAsia="en-GB"/>
        </w:rPr>
        <w:lastRenderedPageBreak/>
        <mc:AlternateContent>
          <mc:Choice Requires="wps">
            <w:drawing>
              <wp:anchor distT="0" distB="0" distL="114300" distR="114300" simplePos="0" relativeHeight="251659264" behindDoc="0" locked="0" layoutInCell="0" allowOverlap="1" wp14:anchorId="09F23CC1" wp14:editId="612D3C87">
                <wp:simplePos x="0" y="0"/>
                <wp:positionH relativeFrom="column">
                  <wp:posOffset>6054969</wp:posOffset>
                </wp:positionH>
                <wp:positionV relativeFrom="paragraph">
                  <wp:posOffset>-99157</wp:posOffset>
                </wp:positionV>
                <wp:extent cx="2882900" cy="1998784"/>
                <wp:effectExtent l="0" t="0" r="12700" b="20955"/>
                <wp:wrapNone/>
                <wp:docPr id="1346527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0" cy="1998784"/>
                        </a:xfrm>
                        <a:prstGeom prst="rect">
                          <a:avLst/>
                        </a:prstGeom>
                        <a:solidFill>
                          <a:srgbClr val="FFFFFF"/>
                        </a:solidFill>
                        <a:ln w="9525">
                          <a:solidFill>
                            <a:srgbClr val="000000"/>
                          </a:solidFill>
                          <a:miter lim="800000"/>
                          <a:headEnd/>
                          <a:tailEnd/>
                        </a:ln>
                      </wps:spPr>
                      <wps:txbx>
                        <w:txbxContent>
                          <w:p w14:paraId="22B6629D" w14:textId="64D85ECF" w:rsidR="00432444" w:rsidRDefault="00432444" w:rsidP="00432444">
                            <w:pPr>
                              <w:widowControl w:val="0"/>
                              <w:pBdr>
                                <w:top w:val="single" w:sz="4" w:space="1" w:color="auto"/>
                                <w:left w:val="single" w:sz="4" w:space="4" w:color="auto"/>
                                <w:bottom w:val="single" w:sz="4" w:space="31" w:color="auto"/>
                                <w:right w:val="single" w:sz="4" w:space="4" w:color="auto"/>
                              </w:pBdr>
                              <w:ind w:left="69" w:right="69"/>
                              <w:rPr>
                                <w:rFonts w:ascii="Arial" w:hAnsi="Arial" w:cs="Arial"/>
                                <w:snapToGrid w:val="0"/>
                                <w:color w:val="000000"/>
                              </w:rPr>
                            </w:pPr>
                            <w:r>
                              <w:rPr>
                                <w:bCs/>
                                <w:snapToGrid w:val="0"/>
                                <w:color w:val="000000"/>
                                <w:u w:val="single"/>
                              </w:rPr>
                              <w:t xml:space="preserve">Scale of Satisfaction  </w:t>
                            </w:r>
                            <w:r>
                              <w:rPr>
                                <w:rFonts w:ascii="Arial" w:hAnsi="Arial" w:cs="Arial"/>
                                <w:b/>
                                <w:snapToGrid w:val="0"/>
                                <w:color w:val="000000"/>
                              </w:rPr>
                              <w:t xml:space="preserve">  </w:t>
                            </w:r>
                          </w:p>
                          <w:p w14:paraId="5E1C0FA1" w14:textId="77777777" w:rsidR="00432444" w:rsidRDefault="00432444" w:rsidP="00432444">
                            <w:pPr>
                              <w:widowControl w:val="0"/>
                              <w:pBdr>
                                <w:top w:val="single" w:sz="4" w:space="1" w:color="auto"/>
                                <w:left w:val="single" w:sz="4" w:space="4" w:color="auto"/>
                                <w:bottom w:val="single" w:sz="4" w:space="31" w:color="auto"/>
                                <w:right w:val="single" w:sz="4" w:space="4" w:color="auto"/>
                              </w:pBdr>
                              <w:ind w:left="69" w:right="69"/>
                              <w:rPr>
                                <w:rFonts w:ascii="Arial" w:hAnsi="Arial" w:cs="Arial"/>
                                <w:b/>
                                <w:snapToGrid w:val="0"/>
                                <w:color w:val="000000"/>
                                <w:sz w:val="16"/>
                              </w:rPr>
                            </w:pPr>
                            <w:r>
                              <w:rPr>
                                <w:rFonts w:ascii="Arial" w:hAnsi="Arial" w:cs="Arial"/>
                                <w:b/>
                                <w:snapToGrid w:val="0"/>
                                <w:color w:val="000000"/>
                                <w:sz w:val="16"/>
                              </w:rPr>
                              <w:t xml:space="preserve">9 or 10 = outstanding </w:t>
                            </w:r>
                          </w:p>
                          <w:p w14:paraId="75908647" w14:textId="77777777" w:rsidR="00432444" w:rsidRDefault="00432444" w:rsidP="00432444">
                            <w:pPr>
                              <w:widowControl w:val="0"/>
                              <w:pBdr>
                                <w:top w:val="single" w:sz="4" w:space="1" w:color="auto"/>
                                <w:left w:val="single" w:sz="4" w:space="4" w:color="auto"/>
                                <w:bottom w:val="single" w:sz="4" w:space="31" w:color="auto"/>
                                <w:right w:val="single" w:sz="4" w:space="4" w:color="auto"/>
                              </w:pBdr>
                              <w:ind w:left="69" w:right="69"/>
                              <w:rPr>
                                <w:rFonts w:ascii="Arial" w:hAnsi="Arial" w:cs="Arial"/>
                                <w:snapToGrid w:val="0"/>
                                <w:color w:val="000000"/>
                                <w:sz w:val="16"/>
                              </w:rPr>
                            </w:pPr>
                            <w:r>
                              <w:rPr>
                                <w:rFonts w:ascii="Arial" w:hAnsi="Arial" w:cs="Arial"/>
                                <w:b/>
                                <w:snapToGrid w:val="0"/>
                                <w:color w:val="000000"/>
                                <w:sz w:val="16"/>
                              </w:rPr>
                              <w:t>7 or 8  = more than satisfactory to good (minor mistakes but not serious)</w:t>
                            </w:r>
                          </w:p>
                          <w:p w14:paraId="447C361F" w14:textId="77777777" w:rsidR="00432444" w:rsidRDefault="00432444" w:rsidP="00432444">
                            <w:pPr>
                              <w:widowControl w:val="0"/>
                              <w:pBdr>
                                <w:top w:val="single" w:sz="4" w:space="1" w:color="auto"/>
                                <w:left w:val="single" w:sz="4" w:space="4" w:color="auto"/>
                                <w:bottom w:val="single" w:sz="4" w:space="31" w:color="auto"/>
                                <w:right w:val="single" w:sz="4" w:space="4" w:color="auto"/>
                              </w:pBdr>
                              <w:ind w:left="69" w:right="69"/>
                              <w:rPr>
                                <w:rFonts w:ascii="Arial" w:hAnsi="Arial" w:cs="Arial"/>
                                <w:snapToGrid w:val="0"/>
                                <w:color w:val="000000"/>
                                <w:sz w:val="16"/>
                              </w:rPr>
                            </w:pPr>
                            <w:r>
                              <w:rPr>
                                <w:rFonts w:ascii="Arial" w:hAnsi="Arial" w:cs="Arial"/>
                                <w:b/>
                                <w:snapToGrid w:val="0"/>
                                <w:color w:val="000000"/>
                                <w:sz w:val="16"/>
                              </w:rPr>
                              <w:t>5 or 6  = acceptable (some problems may need resolved)</w:t>
                            </w:r>
                          </w:p>
                          <w:p w14:paraId="6C35257E" w14:textId="77777777" w:rsidR="00432444" w:rsidRDefault="00432444" w:rsidP="00432444">
                            <w:pPr>
                              <w:widowControl w:val="0"/>
                              <w:pBdr>
                                <w:top w:val="single" w:sz="4" w:space="1" w:color="auto"/>
                                <w:left w:val="single" w:sz="4" w:space="4" w:color="auto"/>
                                <w:bottom w:val="single" w:sz="4" w:space="31" w:color="auto"/>
                                <w:right w:val="single" w:sz="4" w:space="4" w:color="auto"/>
                              </w:pBdr>
                              <w:ind w:left="69" w:right="69"/>
                              <w:rPr>
                                <w:rFonts w:ascii="Arial" w:hAnsi="Arial" w:cs="Arial"/>
                                <w:snapToGrid w:val="0"/>
                                <w:color w:val="000000"/>
                                <w:sz w:val="16"/>
                              </w:rPr>
                            </w:pPr>
                            <w:r>
                              <w:rPr>
                                <w:rFonts w:ascii="Arial" w:hAnsi="Arial" w:cs="Arial"/>
                                <w:b/>
                                <w:snapToGrid w:val="0"/>
                                <w:color w:val="000000"/>
                                <w:sz w:val="16"/>
                              </w:rPr>
                              <w:t>3 or 4  = poor (needs increased monitoring) (Contractor  informed verbally)</w:t>
                            </w:r>
                          </w:p>
                          <w:p w14:paraId="4DEC31A2" w14:textId="77777777" w:rsidR="00432444" w:rsidRDefault="00432444" w:rsidP="00432444">
                            <w:pPr>
                              <w:widowControl w:val="0"/>
                              <w:pBdr>
                                <w:top w:val="single" w:sz="4" w:space="1" w:color="auto"/>
                                <w:left w:val="single" w:sz="4" w:space="4" w:color="auto"/>
                                <w:bottom w:val="single" w:sz="4" w:space="31" w:color="auto"/>
                                <w:right w:val="single" w:sz="4" w:space="4" w:color="auto"/>
                              </w:pBdr>
                              <w:ind w:left="69" w:right="69"/>
                              <w:rPr>
                                <w:rFonts w:ascii="Arial" w:hAnsi="Arial" w:cs="Arial"/>
                                <w:snapToGrid w:val="0"/>
                                <w:color w:val="000000"/>
                                <w:sz w:val="16"/>
                              </w:rPr>
                            </w:pPr>
                            <w:r>
                              <w:rPr>
                                <w:rFonts w:ascii="Arial" w:hAnsi="Arial" w:cs="Arial"/>
                                <w:b/>
                                <w:snapToGrid w:val="0"/>
                                <w:color w:val="000000"/>
                                <w:sz w:val="16"/>
                              </w:rPr>
                              <w:t>0, 1 or 2  = unsatisfactory (Supplier  informed in writing)</w:t>
                            </w:r>
                          </w:p>
                          <w:p w14:paraId="7938EC30" w14:textId="77777777" w:rsidR="00432444" w:rsidRDefault="00432444" w:rsidP="00432444">
                            <w:pPr>
                              <w:pBdr>
                                <w:top w:val="single" w:sz="4" w:space="1" w:color="auto"/>
                                <w:left w:val="single" w:sz="4" w:space="4" w:color="auto"/>
                                <w:bottom w:val="single" w:sz="4" w:space="31" w:color="auto"/>
                                <w:right w:val="single" w:sz="4" w:space="4" w:color="auto"/>
                              </w:pBd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23CC1" id="_x0000_t202" coordsize="21600,21600" o:spt="202" path="m,l,21600r21600,l21600,xe">
                <v:stroke joinstyle="miter"/>
                <v:path gradientshapeok="t" o:connecttype="rect"/>
              </v:shapetype>
              <v:shape id="Text Box 2" o:spid="_x0000_s1026" type="#_x0000_t202" style="position:absolute;margin-left:476.75pt;margin-top:-7.8pt;width:227pt;height:15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" o:allowincell="f">
                <v:textbox>
                  <w:txbxContent>
                    <w:p w14:paraId="22B6629D" w14:textId="64D85ECF" w:rsidR="00432444" w:rsidRDefault="00432444" w:rsidP="00432444">
                      <w:pPr>
                        <w:widowControl w:val="0"/>
                        <w:pBdr>
                          <w:top w:val="single" w:sz="4" w:space="1" w:color="auto"/>
                          <w:left w:val="single" w:sz="4" w:space="4" w:color="auto"/>
                          <w:bottom w:val="single" w:sz="4" w:space="31" w:color="auto"/>
                          <w:right w:val="single" w:sz="4" w:space="4" w:color="auto"/>
                        </w:pBdr>
                        <w:ind w:left="69" w:right="69"/>
                        <w:rPr>
                          <w:rFonts w:ascii="Arial" w:hAnsi="Arial" w:cs="Arial"/>
                          <w:snapToGrid w:val="0"/>
                          <w:color w:val="000000"/>
                        </w:rPr>
                      </w:pPr>
                      <w:r>
                        <w:rPr>
                          <w:bCs/>
                          <w:snapToGrid w:val="0"/>
                          <w:color w:val="000000"/>
                          <w:u w:val="single"/>
                        </w:rPr>
                        <w:t xml:space="preserve">Scale of Satisfaction  </w:t>
                      </w:r>
                      <w:r>
                        <w:rPr>
                          <w:rFonts w:ascii="Arial" w:hAnsi="Arial" w:cs="Arial"/>
                          <w:b/>
                          <w:snapToGrid w:val="0"/>
                          <w:color w:val="000000"/>
                        </w:rPr>
                        <w:t xml:space="preserve">  </w:t>
                      </w:r>
                    </w:p>
                    <w:p w14:paraId="5E1C0FA1" w14:textId="77777777" w:rsidR="00432444" w:rsidRDefault="00432444" w:rsidP="00432444">
                      <w:pPr>
                        <w:widowControl w:val="0"/>
                        <w:pBdr>
                          <w:top w:val="single" w:sz="4" w:space="1" w:color="auto"/>
                          <w:left w:val="single" w:sz="4" w:space="4" w:color="auto"/>
                          <w:bottom w:val="single" w:sz="4" w:space="31" w:color="auto"/>
                          <w:right w:val="single" w:sz="4" w:space="4" w:color="auto"/>
                        </w:pBdr>
                        <w:ind w:left="69" w:right="69"/>
                        <w:rPr>
                          <w:rFonts w:ascii="Arial" w:hAnsi="Arial" w:cs="Arial"/>
                          <w:b/>
                          <w:snapToGrid w:val="0"/>
                          <w:color w:val="000000"/>
                          <w:sz w:val="16"/>
                        </w:rPr>
                      </w:pPr>
                      <w:r>
                        <w:rPr>
                          <w:rFonts w:ascii="Arial" w:hAnsi="Arial" w:cs="Arial"/>
                          <w:b/>
                          <w:snapToGrid w:val="0"/>
                          <w:color w:val="000000"/>
                          <w:sz w:val="16"/>
                        </w:rPr>
                        <w:t xml:space="preserve">9 or 10 = outstanding </w:t>
                      </w:r>
                    </w:p>
                    <w:p w14:paraId="75908647" w14:textId="77777777" w:rsidR="00432444" w:rsidRDefault="00432444" w:rsidP="00432444">
                      <w:pPr>
                        <w:widowControl w:val="0"/>
                        <w:pBdr>
                          <w:top w:val="single" w:sz="4" w:space="1" w:color="auto"/>
                          <w:left w:val="single" w:sz="4" w:space="4" w:color="auto"/>
                          <w:bottom w:val="single" w:sz="4" w:space="31" w:color="auto"/>
                          <w:right w:val="single" w:sz="4" w:space="4" w:color="auto"/>
                        </w:pBdr>
                        <w:ind w:left="69" w:right="69"/>
                        <w:rPr>
                          <w:rFonts w:ascii="Arial" w:hAnsi="Arial" w:cs="Arial"/>
                          <w:snapToGrid w:val="0"/>
                          <w:color w:val="000000"/>
                          <w:sz w:val="16"/>
                        </w:rPr>
                      </w:pPr>
                      <w:r>
                        <w:rPr>
                          <w:rFonts w:ascii="Arial" w:hAnsi="Arial" w:cs="Arial"/>
                          <w:b/>
                          <w:snapToGrid w:val="0"/>
                          <w:color w:val="000000"/>
                          <w:sz w:val="16"/>
                        </w:rPr>
                        <w:t>7 or 8  = more than satisfactory to good (minor mistakes but not serious)</w:t>
                      </w:r>
                    </w:p>
                    <w:p w14:paraId="447C361F" w14:textId="77777777" w:rsidR="00432444" w:rsidRDefault="00432444" w:rsidP="00432444">
                      <w:pPr>
                        <w:widowControl w:val="0"/>
                        <w:pBdr>
                          <w:top w:val="single" w:sz="4" w:space="1" w:color="auto"/>
                          <w:left w:val="single" w:sz="4" w:space="4" w:color="auto"/>
                          <w:bottom w:val="single" w:sz="4" w:space="31" w:color="auto"/>
                          <w:right w:val="single" w:sz="4" w:space="4" w:color="auto"/>
                        </w:pBdr>
                        <w:ind w:left="69" w:right="69"/>
                        <w:rPr>
                          <w:rFonts w:ascii="Arial" w:hAnsi="Arial" w:cs="Arial"/>
                          <w:snapToGrid w:val="0"/>
                          <w:color w:val="000000"/>
                          <w:sz w:val="16"/>
                        </w:rPr>
                      </w:pPr>
                      <w:r>
                        <w:rPr>
                          <w:rFonts w:ascii="Arial" w:hAnsi="Arial" w:cs="Arial"/>
                          <w:b/>
                          <w:snapToGrid w:val="0"/>
                          <w:color w:val="000000"/>
                          <w:sz w:val="16"/>
                        </w:rPr>
                        <w:t>5 or 6  = acceptable (some problems may need resolved)</w:t>
                      </w:r>
                    </w:p>
                    <w:p w14:paraId="6C35257E" w14:textId="77777777" w:rsidR="00432444" w:rsidRDefault="00432444" w:rsidP="00432444">
                      <w:pPr>
                        <w:widowControl w:val="0"/>
                        <w:pBdr>
                          <w:top w:val="single" w:sz="4" w:space="1" w:color="auto"/>
                          <w:left w:val="single" w:sz="4" w:space="4" w:color="auto"/>
                          <w:bottom w:val="single" w:sz="4" w:space="31" w:color="auto"/>
                          <w:right w:val="single" w:sz="4" w:space="4" w:color="auto"/>
                        </w:pBdr>
                        <w:ind w:left="69" w:right="69"/>
                        <w:rPr>
                          <w:rFonts w:ascii="Arial" w:hAnsi="Arial" w:cs="Arial"/>
                          <w:snapToGrid w:val="0"/>
                          <w:color w:val="000000"/>
                          <w:sz w:val="16"/>
                        </w:rPr>
                      </w:pPr>
                      <w:r>
                        <w:rPr>
                          <w:rFonts w:ascii="Arial" w:hAnsi="Arial" w:cs="Arial"/>
                          <w:b/>
                          <w:snapToGrid w:val="0"/>
                          <w:color w:val="000000"/>
                          <w:sz w:val="16"/>
                        </w:rPr>
                        <w:t>3 or 4  = poor (needs increased monitoring) (Contractor  informed verbally)</w:t>
                      </w:r>
                    </w:p>
                    <w:p w14:paraId="4DEC31A2" w14:textId="77777777" w:rsidR="00432444" w:rsidRDefault="00432444" w:rsidP="00432444">
                      <w:pPr>
                        <w:widowControl w:val="0"/>
                        <w:pBdr>
                          <w:top w:val="single" w:sz="4" w:space="1" w:color="auto"/>
                          <w:left w:val="single" w:sz="4" w:space="4" w:color="auto"/>
                          <w:bottom w:val="single" w:sz="4" w:space="31" w:color="auto"/>
                          <w:right w:val="single" w:sz="4" w:space="4" w:color="auto"/>
                        </w:pBdr>
                        <w:ind w:left="69" w:right="69"/>
                        <w:rPr>
                          <w:rFonts w:ascii="Arial" w:hAnsi="Arial" w:cs="Arial"/>
                          <w:snapToGrid w:val="0"/>
                          <w:color w:val="000000"/>
                          <w:sz w:val="16"/>
                        </w:rPr>
                      </w:pPr>
                      <w:r>
                        <w:rPr>
                          <w:rFonts w:ascii="Arial" w:hAnsi="Arial" w:cs="Arial"/>
                          <w:b/>
                          <w:snapToGrid w:val="0"/>
                          <w:color w:val="000000"/>
                          <w:sz w:val="16"/>
                        </w:rPr>
                        <w:t>0, 1 or 2  = unsatisfactory (Supplier  informed in writing)</w:t>
                      </w:r>
                    </w:p>
                    <w:p w14:paraId="7938EC30" w14:textId="77777777" w:rsidR="00432444" w:rsidRDefault="00432444" w:rsidP="00432444">
                      <w:pPr>
                        <w:pBdr>
                          <w:top w:val="single" w:sz="4" w:space="1" w:color="auto"/>
                          <w:left w:val="single" w:sz="4" w:space="4" w:color="auto"/>
                          <w:bottom w:val="single" w:sz="4" w:space="31" w:color="auto"/>
                          <w:right w:val="single" w:sz="4" w:space="4" w:color="auto"/>
                        </w:pBdr>
                        <w:rPr>
                          <w:sz w:val="16"/>
                        </w:rPr>
                      </w:pPr>
                    </w:p>
                  </w:txbxContent>
                </v:textbox>
              </v:shape>
            </w:pict>
          </mc:Fallback>
        </mc:AlternateContent>
      </w:r>
      <w:r w:rsidR="00432444" w:rsidRPr="00432444">
        <w:rPr>
          <w:rFonts w:ascii="Arial" w:hAnsi="Arial" w:cs="Arial"/>
          <w:b/>
          <w:bCs/>
        </w:rPr>
        <w:t xml:space="preserve">Annex </w:t>
      </w:r>
      <w:proofErr w:type="gramStart"/>
      <w:r w:rsidR="00432444" w:rsidRPr="00432444">
        <w:rPr>
          <w:rFonts w:ascii="Arial" w:hAnsi="Arial" w:cs="Arial"/>
          <w:b/>
          <w:bCs/>
        </w:rPr>
        <w:t>A :</w:t>
      </w:r>
      <w:proofErr w:type="gramEnd"/>
      <w:r w:rsidR="00432444" w:rsidRPr="00432444">
        <w:rPr>
          <w:rFonts w:ascii="Arial" w:hAnsi="Arial" w:cs="Arial"/>
          <w:b/>
          <w:bCs/>
        </w:rPr>
        <w:t xml:space="preserve"> </w:t>
      </w:r>
      <w:r w:rsidR="00432444" w:rsidRPr="00432444">
        <w:rPr>
          <w:rFonts w:ascii="Montserrat" w:hAnsi="Montserrat" w:cs="Arial"/>
          <w:b/>
          <w:bCs/>
          <w:snapToGrid w:val="0"/>
          <w:color w:val="000000"/>
        </w:rPr>
        <w:t>Supplier’s P</w:t>
      </w:r>
      <w:r w:rsidR="00432444">
        <w:rPr>
          <w:rFonts w:ascii="Montserrat" w:hAnsi="Montserrat" w:cs="Arial"/>
          <w:b/>
          <w:bCs/>
          <w:snapToGrid w:val="0"/>
          <w:color w:val="000000"/>
        </w:rPr>
        <w:t xml:space="preserve">erformance Assessment </w:t>
      </w:r>
      <w:r>
        <w:rPr>
          <w:rFonts w:ascii="Montserrat" w:hAnsi="Montserrat" w:cs="Arial"/>
          <w:b/>
          <w:bCs/>
          <w:snapToGrid w:val="0"/>
          <w:color w:val="000000"/>
        </w:rPr>
        <w:t>(CMO1)</w:t>
      </w:r>
    </w:p>
    <w:p w14:paraId="5F5D8D85" w14:textId="77777777" w:rsidR="00432444" w:rsidRPr="00B87C85" w:rsidRDefault="00432444" w:rsidP="004324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ontserrat" w:hAnsi="Montserrat" w:cs="Arial"/>
          <w:b/>
          <w:bCs/>
          <w:snapToGrid w:val="0"/>
          <w:color w:val="000000"/>
          <w:sz w:val="20"/>
          <w:szCs w:val="20"/>
        </w:rPr>
      </w:pPr>
    </w:p>
    <w:p w14:paraId="43876425" w14:textId="036EB685" w:rsidR="00432444" w:rsidRPr="00B87C85" w:rsidRDefault="00432444" w:rsidP="004324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ontserrat" w:hAnsi="Montserrat" w:cs="Arial"/>
          <w:snapToGrid w:val="0"/>
          <w:color w:val="000000"/>
          <w:sz w:val="20"/>
          <w:szCs w:val="20"/>
        </w:rPr>
      </w:pPr>
      <w:r w:rsidRPr="00B87C85">
        <w:rPr>
          <w:rFonts w:ascii="Montserrat" w:hAnsi="Montserrat" w:cs="Arial"/>
          <w:snapToGrid w:val="0"/>
          <w:color w:val="000000"/>
          <w:sz w:val="20"/>
          <w:szCs w:val="20"/>
        </w:rPr>
        <w:t xml:space="preserve">Contract title:   …………………………….        </w:t>
      </w:r>
      <w:r w:rsidRPr="00B87C85">
        <w:rPr>
          <w:rFonts w:ascii="Montserrat" w:hAnsi="Montserrat" w:cs="Arial"/>
          <w:snapToGrid w:val="0"/>
          <w:color w:val="000000"/>
          <w:sz w:val="20"/>
          <w:szCs w:val="20"/>
        </w:rPr>
        <w:tab/>
        <w:t xml:space="preserve">                             </w:t>
      </w:r>
      <w:r w:rsidR="00B87C85" w:rsidRPr="00B87C85">
        <w:rPr>
          <w:rFonts w:ascii="Montserrat" w:hAnsi="Montserrat" w:cs="Arial"/>
          <w:snapToGrid w:val="0"/>
          <w:color w:val="000000"/>
          <w:sz w:val="20"/>
          <w:szCs w:val="20"/>
        </w:rPr>
        <w:t>Organisation</w:t>
      </w:r>
      <w:r w:rsidRPr="00B87C85">
        <w:rPr>
          <w:rFonts w:ascii="Montserrat" w:hAnsi="Montserrat" w:cs="Arial"/>
          <w:snapToGrid w:val="0"/>
          <w:color w:val="000000"/>
          <w:sz w:val="20"/>
          <w:szCs w:val="20"/>
        </w:rPr>
        <w:t>…………………………</w:t>
      </w:r>
      <w:r w:rsidR="00E5014F" w:rsidRPr="00B87C85">
        <w:rPr>
          <w:rFonts w:ascii="Montserrat" w:hAnsi="Montserrat" w:cs="Arial"/>
          <w:snapToGrid w:val="0"/>
          <w:color w:val="000000"/>
          <w:sz w:val="20"/>
          <w:szCs w:val="20"/>
        </w:rPr>
        <w:t>….</w:t>
      </w:r>
    </w:p>
    <w:p w14:paraId="3C19BA2E" w14:textId="77777777" w:rsidR="00432444" w:rsidRPr="00B87C85" w:rsidRDefault="00432444" w:rsidP="00B87C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Montserrat" w:hAnsi="Montserrat" w:cs="Arial"/>
          <w:snapToGrid w:val="0"/>
          <w:color w:val="000000"/>
          <w:sz w:val="20"/>
          <w:szCs w:val="20"/>
        </w:rPr>
      </w:pPr>
    </w:p>
    <w:tbl>
      <w:tblPr>
        <w:tblpPr w:leftFromText="180" w:rightFromText="180" w:vertAnchor="page" w:horzAnchor="margin" w:tblpY="3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2551"/>
      </w:tblGrid>
      <w:tr w:rsidR="00B87C85" w:rsidRPr="00B87C85" w14:paraId="7248A844" w14:textId="77777777" w:rsidTr="00B87C85">
        <w:tc>
          <w:tcPr>
            <w:tcW w:w="1668" w:type="dxa"/>
          </w:tcPr>
          <w:p w14:paraId="2AF184FA" w14:textId="77777777" w:rsidR="00B87C85" w:rsidRPr="00B87C85" w:rsidRDefault="00B87C85" w:rsidP="00B87C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Montserrat" w:hAnsi="Montserrat" w:cs="Arial"/>
                <w:snapToGrid w:val="0"/>
                <w:color w:val="000000"/>
                <w:sz w:val="20"/>
                <w:szCs w:val="20"/>
              </w:rPr>
            </w:pPr>
            <w:r w:rsidRPr="00B87C85">
              <w:rPr>
                <w:rFonts w:ascii="Montserrat" w:hAnsi="Montserrat" w:cs="Arial"/>
                <w:snapToGrid w:val="0"/>
                <w:color w:val="000000"/>
                <w:sz w:val="20"/>
                <w:szCs w:val="20"/>
              </w:rPr>
              <w:t xml:space="preserve">Value of Contract </w:t>
            </w:r>
          </w:p>
        </w:tc>
        <w:tc>
          <w:tcPr>
            <w:tcW w:w="2551" w:type="dxa"/>
          </w:tcPr>
          <w:p w14:paraId="0E872950" w14:textId="77777777" w:rsidR="00B87C85" w:rsidRPr="00B87C85" w:rsidRDefault="00B87C85" w:rsidP="00B87C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Montserrat" w:hAnsi="Montserrat" w:cs="Arial"/>
                <w:i/>
                <w:snapToGrid w:val="0"/>
                <w:color w:val="000000"/>
                <w:sz w:val="20"/>
                <w:szCs w:val="20"/>
              </w:rPr>
            </w:pPr>
            <w:r w:rsidRPr="00B87C85">
              <w:rPr>
                <w:rFonts w:ascii="Montserrat" w:hAnsi="Montserrat" w:cs="Arial"/>
                <w:i/>
                <w:snapToGrid w:val="0"/>
                <w:color w:val="000000"/>
                <w:sz w:val="20"/>
                <w:szCs w:val="20"/>
              </w:rPr>
              <w:t>£</w:t>
            </w:r>
          </w:p>
        </w:tc>
      </w:tr>
      <w:tr w:rsidR="00B87C85" w:rsidRPr="00B87C85" w14:paraId="37B049FD" w14:textId="77777777" w:rsidTr="00B87C85">
        <w:tc>
          <w:tcPr>
            <w:tcW w:w="1668" w:type="dxa"/>
          </w:tcPr>
          <w:p w14:paraId="686C4079" w14:textId="77777777" w:rsidR="00B87C85" w:rsidRPr="00B87C85" w:rsidRDefault="00B87C85" w:rsidP="00B87C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Montserrat" w:hAnsi="Montserrat" w:cs="Arial"/>
                <w:i/>
                <w:snapToGrid w:val="0"/>
                <w:color w:val="000000"/>
                <w:sz w:val="20"/>
                <w:szCs w:val="20"/>
              </w:rPr>
            </w:pPr>
            <w:r w:rsidRPr="00B87C85">
              <w:rPr>
                <w:rFonts w:ascii="Montserrat" w:hAnsi="Montserrat" w:cs="Arial"/>
                <w:i/>
                <w:snapToGrid w:val="0"/>
                <w:color w:val="000000"/>
                <w:sz w:val="20"/>
                <w:szCs w:val="20"/>
              </w:rPr>
              <w:t>Spend to date</w:t>
            </w:r>
          </w:p>
        </w:tc>
        <w:tc>
          <w:tcPr>
            <w:tcW w:w="2551" w:type="dxa"/>
          </w:tcPr>
          <w:p w14:paraId="5A09145F" w14:textId="77777777" w:rsidR="00B87C85" w:rsidRDefault="00B87C85" w:rsidP="00B87C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Montserrat" w:hAnsi="Montserrat" w:cs="Arial"/>
                <w:i/>
                <w:snapToGrid w:val="0"/>
                <w:color w:val="000000"/>
                <w:sz w:val="20"/>
                <w:szCs w:val="20"/>
              </w:rPr>
            </w:pPr>
            <w:r w:rsidRPr="00B87C85">
              <w:rPr>
                <w:rFonts w:ascii="Montserrat" w:hAnsi="Montserrat" w:cs="Arial"/>
                <w:i/>
                <w:snapToGrid w:val="0"/>
                <w:color w:val="000000"/>
                <w:sz w:val="20"/>
                <w:szCs w:val="20"/>
              </w:rPr>
              <w:t>£</w:t>
            </w:r>
          </w:p>
          <w:p w14:paraId="1BF240E5" w14:textId="77777777" w:rsidR="00B87C85" w:rsidRPr="00B87C85" w:rsidRDefault="00B87C85" w:rsidP="00B87C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Montserrat" w:hAnsi="Montserrat" w:cs="Arial"/>
                <w:i/>
                <w:snapToGrid w:val="0"/>
                <w:color w:val="000000"/>
                <w:sz w:val="20"/>
                <w:szCs w:val="20"/>
              </w:rPr>
            </w:pPr>
          </w:p>
        </w:tc>
      </w:tr>
    </w:tbl>
    <w:p w14:paraId="42084F47" w14:textId="77777777" w:rsidR="00432444" w:rsidRPr="00B87C85" w:rsidRDefault="00432444" w:rsidP="00B87C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Montserrat" w:hAnsi="Montserrat" w:cs="Arial"/>
          <w:snapToGrid w:val="0"/>
          <w:color w:val="000000"/>
          <w:sz w:val="20"/>
          <w:szCs w:val="20"/>
        </w:rPr>
      </w:pPr>
      <w:r w:rsidRPr="00B87C85">
        <w:rPr>
          <w:rFonts w:ascii="Montserrat" w:hAnsi="Montserrat" w:cs="Arial"/>
          <w:snapToGrid w:val="0"/>
          <w:color w:val="000000"/>
          <w:sz w:val="20"/>
          <w:szCs w:val="20"/>
        </w:rPr>
        <w:t>Monitoring Period  - 6 months</w:t>
      </w:r>
      <w:r w:rsidRPr="00B87C85">
        <w:rPr>
          <w:rFonts w:ascii="Montserrat" w:hAnsi="Montserrat" w:cs="Arial"/>
          <w:snapToGrid w:val="0"/>
          <w:color w:val="000000"/>
          <w:sz w:val="20"/>
          <w:szCs w:val="20"/>
        </w:rPr>
        <w:tab/>
      </w:r>
      <w:r w:rsidRPr="00B87C85">
        <w:rPr>
          <w:rFonts w:ascii="Montserrat" w:hAnsi="Montserrat" w:cs="Arial"/>
          <w:snapToGrid w:val="0"/>
          <w:color w:val="000000"/>
          <w:sz w:val="20"/>
          <w:szCs w:val="20"/>
        </w:rPr>
        <w:tab/>
      </w:r>
      <w:r w:rsidRPr="00B87C85">
        <w:rPr>
          <w:rFonts w:ascii="Montserrat" w:hAnsi="Montserrat" w:cs="Arial"/>
          <w:snapToGrid w:val="0"/>
          <w:color w:val="000000"/>
          <w:sz w:val="20"/>
          <w:szCs w:val="20"/>
        </w:rPr>
        <w:tab/>
      </w:r>
      <w:r w:rsidRPr="00B87C85">
        <w:rPr>
          <w:rFonts w:ascii="Montserrat" w:hAnsi="Montserrat" w:cs="Arial"/>
          <w:snapToGrid w:val="0"/>
          <w:color w:val="000000"/>
          <w:sz w:val="20"/>
          <w:szCs w:val="20"/>
        </w:rPr>
        <w:tab/>
        <w:t xml:space="preserve">    Supplier............................................</w:t>
      </w:r>
    </w:p>
    <w:tbl>
      <w:tblPr>
        <w:tblW w:w="14729"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74"/>
        <w:gridCol w:w="5706"/>
        <w:gridCol w:w="1370"/>
        <w:gridCol w:w="1559"/>
        <w:gridCol w:w="1276"/>
        <w:gridCol w:w="4244"/>
      </w:tblGrid>
      <w:tr w:rsidR="00432444" w:rsidRPr="00B87C85" w14:paraId="75A4BEF8" w14:textId="77777777" w:rsidTr="002144D5">
        <w:tc>
          <w:tcPr>
            <w:tcW w:w="574" w:type="dxa"/>
            <w:tcBorders>
              <w:top w:val="single" w:sz="4" w:space="0" w:color="auto"/>
              <w:bottom w:val="single" w:sz="4" w:space="0" w:color="auto"/>
              <w:right w:val="single" w:sz="4" w:space="0" w:color="auto"/>
            </w:tcBorders>
          </w:tcPr>
          <w:p w14:paraId="7DCC9146" w14:textId="47AE10EB" w:rsidR="00432444" w:rsidRPr="00B87C85" w:rsidRDefault="00432444" w:rsidP="00B87C85">
            <w:pPr>
              <w:widowControl w:val="0"/>
              <w:spacing w:after="0" w:line="240" w:lineRule="auto"/>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 xml:space="preserve">    Ref.</w:t>
            </w:r>
          </w:p>
        </w:tc>
        <w:tc>
          <w:tcPr>
            <w:tcW w:w="5706" w:type="dxa"/>
            <w:tcBorders>
              <w:top w:val="single" w:sz="4" w:space="0" w:color="auto"/>
              <w:left w:val="single" w:sz="4" w:space="0" w:color="auto"/>
              <w:bottom w:val="single" w:sz="4" w:space="0" w:color="auto"/>
              <w:right w:val="single" w:sz="4" w:space="0" w:color="auto"/>
            </w:tcBorders>
          </w:tcPr>
          <w:p w14:paraId="2BEE2E01" w14:textId="77777777" w:rsidR="00432444" w:rsidRPr="00B87C85" w:rsidRDefault="00432444" w:rsidP="00B87C85">
            <w:pPr>
              <w:widowControl w:val="0"/>
              <w:spacing w:after="0" w:line="240" w:lineRule="auto"/>
              <w:jc w:val="center"/>
              <w:rPr>
                <w:rFonts w:ascii="Montserrat" w:hAnsi="Montserrat" w:cs="Arial"/>
                <w:snapToGrid w:val="0"/>
                <w:color w:val="000000"/>
                <w:sz w:val="20"/>
                <w:szCs w:val="20"/>
              </w:rPr>
            </w:pPr>
            <w:r w:rsidRPr="00B87C85">
              <w:rPr>
                <w:rFonts w:ascii="Montserrat" w:hAnsi="Montserrat" w:cs="Arial"/>
                <w:b/>
                <w:snapToGrid w:val="0"/>
                <w:color w:val="000000"/>
                <w:sz w:val="20"/>
                <w:szCs w:val="20"/>
              </w:rPr>
              <w:t>CATEGORY</w:t>
            </w:r>
          </w:p>
        </w:tc>
        <w:tc>
          <w:tcPr>
            <w:tcW w:w="1370" w:type="dxa"/>
            <w:tcBorders>
              <w:top w:val="single" w:sz="4" w:space="0" w:color="auto"/>
              <w:left w:val="single" w:sz="4" w:space="0" w:color="auto"/>
              <w:bottom w:val="nil"/>
              <w:right w:val="single" w:sz="4" w:space="0" w:color="auto"/>
            </w:tcBorders>
          </w:tcPr>
          <w:p w14:paraId="6B67B4B4" w14:textId="77777777" w:rsidR="00432444" w:rsidRPr="00B87C85" w:rsidRDefault="00432444" w:rsidP="00B87C85">
            <w:pPr>
              <w:widowControl w:val="0"/>
              <w:spacing w:after="0" w:line="240" w:lineRule="auto"/>
              <w:jc w:val="center"/>
              <w:rPr>
                <w:rFonts w:ascii="Montserrat" w:hAnsi="Montserrat" w:cs="Arial"/>
                <w:snapToGrid w:val="0"/>
                <w:color w:val="000000"/>
                <w:sz w:val="20"/>
                <w:szCs w:val="20"/>
              </w:rPr>
            </w:pPr>
            <w:r w:rsidRPr="00B87C85">
              <w:rPr>
                <w:rFonts w:ascii="Montserrat" w:hAnsi="Montserrat" w:cs="Arial"/>
                <w:b/>
                <w:snapToGrid w:val="0"/>
                <w:color w:val="000000"/>
                <w:sz w:val="20"/>
                <w:szCs w:val="20"/>
              </w:rPr>
              <w:t>Weighting</w:t>
            </w:r>
          </w:p>
        </w:tc>
        <w:tc>
          <w:tcPr>
            <w:tcW w:w="1559" w:type="dxa"/>
            <w:tcBorders>
              <w:top w:val="single" w:sz="4" w:space="0" w:color="auto"/>
              <w:left w:val="single" w:sz="4" w:space="0" w:color="auto"/>
              <w:bottom w:val="nil"/>
              <w:right w:val="single" w:sz="4" w:space="0" w:color="auto"/>
            </w:tcBorders>
          </w:tcPr>
          <w:p w14:paraId="048C3D27" w14:textId="77777777" w:rsidR="00432444" w:rsidRPr="00B87C85" w:rsidRDefault="00432444" w:rsidP="00B87C85">
            <w:pPr>
              <w:widowControl w:val="0"/>
              <w:spacing w:after="0" w:line="240" w:lineRule="auto"/>
              <w:jc w:val="center"/>
              <w:rPr>
                <w:rFonts w:ascii="Montserrat" w:hAnsi="Montserrat" w:cs="Arial"/>
                <w:snapToGrid w:val="0"/>
                <w:color w:val="000000"/>
                <w:sz w:val="20"/>
                <w:szCs w:val="20"/>
              </w:rPr>
            </w:pPr>
            <w:r w:rsidRPr="00B87C85">
              <w:rPr>
                <w:rFonts w:ascii="Montserrat" w:hAnsi="Montserrat" w:cs="Arial"/>
                <w:b/>
                <w:snapToGrid w:val="0"/>
                <w:color w:val="000000"/>
                <w:sz w:val="20"/>
                <w:szCs w:val="20"/>
              </w:rPr>
              <w:t>Scale of</w:t>
            </w:r>
          </w:p>
          <w:p w14:paraId="1312BA0B" w14:textId="77777777" w:rsidR="00432444" w:rsidRPr="00B87C85" w:rsidRDefault="00432444" w:rsidP="00B87C85">
            <w:pPr>
              <w:widowControl w:val="0"/>
              <w:spacing w:after="0" w:line="240" w:lineRule="auto"/>
              <w:jc w:val="center"/>
              <w:rPr>
                <w:rFonts w:ascii="Montserrat" w:hAnsi="Montserrat" w:cs="Arial"/>
                <w:snapToGrid w:val="0"/>
                <w:color w:val="000000"/>
                <w:sz w:val="20"/>
                <w:szCs w:val="20"/>
              </w:rPr>
            </w:pPr>
            <w:r w:rsidRPr="00B87C85">
              <w:rPr>
                <w:rFonts w:ascii="Montserrat" w:hAnsi="Montserrat" w:cs="Arial"/>
                <w:b/>
                <w:snapToGrid w:val="0"/>
                <w:color w:val="000000"/>
                <w:sz w:val="20"/>
                <w:szCs w:val="20"/>
              </w:rPr>
              <w:t>Satisfaction</w:t>
            </w:r>
          </w:p>
        </w:tc>
        <w:tc>
          <w:tcPr>
            <w:tcW w:w="1276" w:type="dxa"/>
            <w:tcBorders>
              <w:top w:val="single" w:sz="4" w:space="0" w:color="auto"/>
              <w:left w:val="single" w:sz="4" w:space="0" w:color="auto"/>
              <w:bottom w:val="nil"/>
              <w:right w:val="single" w:sz="4" w:space="0" w:color="auto"/>
            </w:tcBorders>
          </w:tcPr>
          <w:p w14:paraId="5077E64D" w14:textId="77777777" w:rsidR="00432444" w:rsidRPr="00B87C85" w:rsidRDefault="00432444" w:rsidP="00B87C85">
            <w:pPr>
              <w:widowControl w:val="0"/>
              <w:spacing w:after="0" w:line="240" w:lineRule="auto"/>
              <w:jc w:val="center"/>
              <w:rPr>
                <w:rFonts w:ascii="Montserrat" w:hAnsi="Montserrat" w:cs="Arial"/>
                <w:snapToGrid w:val="0"/>
                <w:color w:val="000000"/>
                <w:sz w:val="20"/>
                <w:szCs w:val="20"/>
              </w:rPr>
            </w:pPr>
            <w:r w:rsidRPr="00B87C85">
              <w:rPr>
                <w:rFonts w:ascii="Montserrat" w:hAnsi="Montserrat" w:cs="Arial"/>
                <w:b/>
                <w:snapToGrid w:val="0"/>
                <w:color w:val="000000"/>
                <w:sz w:val="20"/>
                <w:szCs w:val="20"/>
              </w:rPr>
              <w:t>Weighted Score</w:t>
            </w:r>
          </w:p>
        </w:tc>
        <w:tc>
          <w:tcPr>
            <w:tcW w:w="4244" w:type="dxa"/>
            <w:tcBorders>
              <w:top w:val="single" w:sz="4" w:space="0" w:color="auto"/>
              <w:left w:val="single" w:sz="4" w:space="0" w:color="auto"/>
              <w:bottom w:val="single" w:sz="4" w:space="0" w:color="auto"/>
            </w:tcBorders>
          </w:tcPr>
          <w:p w14:paraId="22CAFB8E" w14:textId="77777777" w:rsidR="00432444" w:rsidRPr="00B87C85" w:rsidRDefault="00432444" w:rsidP="00B87C85">
            <w:pPr>
              <w:widowControl w:val="0"/>
              <w:spacing w:after="0" w:line="240" w:lineRule="auto"/>
              <w:jc w:val="center"/>
              <w:rPr>
                <w:rFonts w:ascii="Montserrat" w:hAnsi="Montserrat" w:cs="Arial"/>
                <w:snapToGrid w:val="0"/>
                <w:color w:val="000000"/>
                <w:sz w:val="18"/>
                <w:szCs w:val="18"/>
              </w:rPr>
            </w:pPr>
            <w:r w:rsidRPr="00B87C85">
              <w:rPr>
                <w:rFonts w:ascii="Montserrat" w:hAnsi="Montserrat" w:cs="Arial"/>
                <w:b/>
                <w:snapToGrid w:val="0"/>
                <w:color w:val="000000"/>
                <w:sz w:val="20"/>
                <w:szCs w:val="20"/>
              </w:rPr>
              <w:t xml:space="preserve">COMMENTS </w:t>
            </w:r>
            <w:r w:rsidRPr="00B87C85">
              <w:rPr>
                <w:rFonts w:ascii="Montserrat" w:hAnsi="Montserrat" w:cs="Arial"/>
                <w:snapToGrid w:val="0"/>
                <w:color w:val="000000"/>
                <w:sz w:val="20"/>
                <w:szCs w:val="20"/>
              </w:rPr>
              <w:t xml:space="preserve"> </w:t>
            </w:r>
            <w:r w:rsidRPr="00B87C85">
              <w:rPr>
                <w:rFonts w:ascii="Montserrat" w:hAnsi="Montserrat" w:cs="Arial"/>
                <w:snapToGrid w:val="0"/>
                <w:color w:val="000000"/>
                <w:sz w:val="18"/>
                <w:szCs w:val="18"/>
              </w:rPr>
              <w:t>as  appropriate</w:t>
            </w:r>
          </w:p>
          <w:p w14:paraId="6021396C" w14:textId="410354C1" w:rsidR="00432444" w:rsidRPr="00B87C85" w:rsidRDefault="00432444" w:rsidP="00B87C85">
            <w:pPr>
              <w:widowControl w:val="0"/>
              <w:spacing w:after="0" w:line="240" w:lineRule="auto"/>
              <w:jc w:val="center"/>
              <w:rPr>
                <w:rFonts w:ascii="Montserrat" w:hAnsi="Montserrat" w:cs="Arial"/>
                <w:snapToGrid w:val="0"/>
                <w:color w:val="000000"/>
                <w:sz w:val="20"/>
                <w:szCs w:val="20"/>
              </w:rPr>
            </w:pPr>
            <w:r w:rsidRPr="00B87C85">
              <w:rPr>
                <w:rFonts w:ascii="Montserrat" w:hAnsi="Montserrat" w:cs="Arial"/>
                <w:snapToGrid w:val="0"/>
                <w:color w:val="000000"/>
                <w:sz w:val="18"/>
                <w:szCs w:val="18"/>
              </w:rPr>
              <w:t>(use back of sheet if necessary )</w:t>
            </w:r>
          </w:p>
        </w:tc>
      </w:tr>
      <w:tr w:rsidR="00432444" w:rsidRPr="00B87C85" w14:paraId="012442DC" w14:textId="77777777" w:rsidTr="002144D5">
        <w:tc>
          <w:tcPr>
            <w:tcW w:w="574" w:type="dxa"/>
            <w:tcBorders>
              <w:top w:val="single" w:sz="4" w:space="0" w:color="auto"/>
              <w:bottom w:val="single" w:sz="4" w:space="0" w:color="auto"/>
              <w:right w:val="single" w:sz="4" w:space="0" w:color="auto"/>
            </w:tcBorders>
          </w:tcPr>
          <w:p w14:paraId="4C3F2F06" w14:textId="77777777" w:rsidR="00432444" w:rsidRPr="00B87C85" w:rsidRDefault="00432444" w:rsidP="002144D5">
            <w:pPr>
              <w:widowControl w:val="0"/>
              <w:jc w:val="center"/>
              <w:rPr>
                <w:rFonts w:ascii="Montserrat" w:hAnsi="Montserrat" w:cs="Arial"/>
                <w:snapToGrid w:val="0"/>
                <w:color w:val="000000"/>
                <w:sz w:val="20"/>
                <w:szCs w:val="20"/>
              </w:rPr>
            </w:pPr>
          </w:p>
        </w:tc>
        <w:tc>
          <w:tcPr>
            <w:tcW w:w="5706" w:type="dxa"/>
            <w:tcBorders>
              <w:top w:val="single" w:sz="4" w:space="0" w:color="auto"/>
              <w:left w:val="single" w:sz="4" w:space="0" w:color="auto"/>
              <w:bottom w:val="single" w:sz="4" w:space="0" w:color="auto"/>
              <w:right w:val="single" w:sz="4" w:space="0" w:color="auto"/>
            </w:tcBorders>
          </w:tcPr>
          <w:p w14:paraId="2EFBC7A2" w14:textId="77777777" w:rsidR="00432444" w:rsidRPr="00B87C85" w:rsidRDefault="00432444"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 xml:space="preserve"> </w:t>
            </w:r>
            <w:r w:rsidRPr="00B87C85">
              <w:rPr>
                <w:rFonts w:ascii="Montserrat" w:hAnsi="Montserrat" w:cs="Arial"/>
                <w:b/>
                <w:i/>
                <w:snapToGrid w:val="0"/>
                <w:color w:val="000000"/>
                <w:sz w:val="20"/>
                <w:szCs w:val="20"/>
              </w:rPr>
              <w:t>COMPLETION</w:t>
            </w:r>
          </w:p>
        </w:tc>
        <w:tc>
          <w:tcPr>
            <w:tcW w:w="1370" w:type="dxa"/>
            <w:tcBorders>
              <w:top w:val="single" w:sz="4" w:space="0" w:color="auto"/>
              <w:left w:val="single" w:sz="4" w:space="0" w:color="auto"/>
              <w:bottom w:val="single" w:sz="4" w:space="0" w:color="auto"/>
              <w:right w:val="single" w:sz="4" w:space="0" w:color="auto"/>
            </w:tcBorders>
            <w:shd w:val="pct37" w:color="auto" w:fill="FFFFFF"/>
          </w:tcPr>
          <w:p w14:paraId="0C264C26" w14:textId="77777777" w:rsidR="00432444" w:rsidRPr="00B87C85" w:rsidRDefault="00432444" w:rsidP="002144D5">
            <w:pPr>
              <w:widowControl w:val="0"/>
              <w:rPr>
                <w:rFonts w:ascii="Montserrat" w:hAnsi="Montserrat" w:cs="Arial"/>
                <w:snapToGrid w:val="0"/>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pct37" w:color="auto" w:fill="FFFFFF"/>
          </w:tcPr>
          <w:p w14:paraId="34440D6B" w14:textId="77777777" w:rsidR="00432444" w:rsidRPr="00B87C85" w:rsidRDefault="00432444" w:rsidP="002144D5">
            <w:pPr>
              <w:widowControl w:val="0"/>
              <w:rPr>
                <w:rFonts w:ascii="Montserrat" w:hAnsi="Montserrat" w:cs="Arial"/>
                <w:snapToGrid w:val="0"/>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pct37" w:color="auto" w:fill="FFFFFF"/>
          </w:tcPr>
          <w:p w14:paraId="31C3A3E1" w14:textId="77777777" w:rsidR="00432444" w:rsidRPr="00B87C85" w:rsidRDefault="00432444" w:rsidP="002144D5">
            <w:pPr>
              <w:widowControl w:val="0"/>
              <w:rPr>
                <w:rFonts w:ascii="Montserrat" w:hAnsi="Montserrat" w:cs="Arial"/>
                <w:snapToGrid w:val="0"/>
                <w:color w:val="000000"/>
                <w:sz w:val="20"/>
                <w:szCs w:val="20"/>
              </w:rPr>
            </w:pPr>
          </w:p>
        </w:tc>
        <w:tc>
          <w:tcPr>
            <w:tcW w:w="4244" w:type="dxa"/>
            <w:tcBorders>
              <w:top w:val="single" w:sz="4" w:space="0" w:color="auto"/>
              <w:left w:val="single" w:sz="4" w:space="0" w:color="auto"/>
              <w:bottom w:val="single" w:sz="4" w:space="0" w:color="auto"/>
            </w:tcBorders>
          </w:tcPr>
          <w:p w14:paraId="3972B8B1" w14:textId="77777777" w:rsidR="00432444" w:rsidRPr="00B87C85" w:rsidRDefault="00432444" w:rsidP="002144D5">
            <w:pPr>
              <w:widowControl w:val="0"/>
              <w:rPr>
                <w:rFonts w:ascii="Montserrat" w:hAnsi="Montserrat" w:cs="Arial"/>
                <w:snapToGrid w:val="0"/>
                <w:color w:val="000000"/>
                <w:sz w:val="20"/>
                <w:szCs w:val="20"/>
              </w:rPr>
            </w:pPr>
          </w:p>
        </w:tc>
      </w:tr>
      <w:tr w:rsidR="00432444" w:rsidRPr="00B87C85" w14:paraId="47649DB6" w14:textId="77777777" w:rsidTr="002144D5">
        <w:tc>
          <w:tcPr>
            <w:tcW w:w="574" w:type="dxa"/>
            <w:tcBorders>
              <w:top w:val="single" w:sz="4" w:space="0" w:color="auto"/>
              <w:bottom w:val="single" w:sz="4" w:space="0" w:color="auto"/>
              <w:right w:val="single" w:sz="4" w:space="0" w:color="auto"/>
            </w:tcBorders>
          </w:tcPr>
          <w:p w14:paraId="67259C41" w14:textId="65E5AF52" w:rsidR="00432444" w:rsidRPr="00B87C85" w:rsidRDefault="00432444"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1</w:t>
            </w:r>
          </w:p>
        </w:tc>
        <w:tc>
          <w:tcPr>
            <w:tcW w:w="5706" w:type="dxa"/>
            <w:tcBorders>
              <w:top w:val="single" w:sz="4" w:space="0" w:color="auto"/>
              <w:left w:val="single" w:sz="4" w:space="0" w:color="auto"/>
              <w:bottom w:val="single" w:sz="4" w:space="0" w:color="auto"/>
              <w:right w:val="single" w:sz="4" w:space="0" w:color="auto"/>
            </w:tcBorders>
          </w:tcPr>
          <w:p w14:paraId="28E85B82" w14:textId="76E65D0F" w:rsidR="00432444" w:rsidRPr="00B87C85" w:rsidRDefault="00432444" w:rsidP="002144D5">
            <w:pPr>
              <w:widowControl w:val="0"/>
              <w:rPr>
                <w:rFonts w:ascii="Montserrat" w:hAnsi="Montserrat" w:cs="Arial"/>
                <w:snapToGrid w:val="0"/>
                <w:color w:val="000000"/>
                <w:sz w:val="20"/>
                <w:szCs w:val="20"/>
              </w:rPr>
            </w:pPr>
            <w:r w:rsidRPr="00B87C85">
              <w:rPr>
                <w:rFonts w:ascii="Montserrat" w:hAnsi="Montserrat" w:cs="Arial"/>
                <w:snapToGrid w:val="0"/>
                <w:color w:val="000000"/>
                <w:sz w:val="20"/>
                <w:szCs w:val="20"/>
              </w:rPr>
              <w:t xml:space="preserve">Delivery of a high quality </w:t>
            </w:r>
            <w:r w:rsidR="00B87C85" w:rsidRPr="00B87C85">
              <w:rPr>
                <w:rFonts w:ascii="Montserrat" w:hAnsi="Montserrat" w:cs="Arial"/>
                <w:snapToGrid w:val="0"/>
                <w:color w:val="000000"/>
                <w:sz w:val="20"/>
                <w:szCs w:val="20"/>
              </w:rPr>
              <w:t>service</w:t>
            </w:r>
          </w:p>
        </w:tc>
        <w:tc>
          <w:tcPr>
            <w:tcW w:w="1370" w:type="dxa"/>
            <w:tcBorders>
              <w:top w:val="single" w:sz="4" w:space="0" w:color="auto"/>
              <w:left w:val="single" w:sz="4" w:space="0" w:color="auto"/>
              <w:bottom w:val="single" w:sz="4" w:space="0" w:color="auto"/>
              <w:right w:val="single" w:sz="4" w:space="0" w:color="auto"/>
            </w:tcBorders>
          </w:tcPr>
          <w:p w14:paraId="750B4CC3" w14:textId="77777777" w:rsidR="00432444" w:rsidRPr="00B87C85" w:rsidRDefault="00432444"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tcPr>
          <w:p w14:paraId="4D8CBA11" w14:textId="77777777" w:rsidR="00432444" w:rsidRPr="00B87C85" w:rsidRDefault="00432444" w:rsidP="002144D5">
            <w:pPr>
              <w:widowControl w:val="0"/>
              <w:jc w:val="center"/>
              <w:rPr>
                <w:rFonts w:ascii="Montserrat" w:hAnsi="Montserrat" w:cs="Arial"/>
                <w:snapToGrid w:val="0"/>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ACB074D" w14:textId="77777777" w:rsidR="00432444" w:rsidRPr="00B87C85" w:rsidRDefault="00432444" w:rsidP="002144D5">
            <w:pPr>
              <w:widowControl w:val="0"/>
              <w:jc w:val="center"/>
              <w:rPr>
                <w:rFonts w:ascii="Montserrat" w:hAnsi="Montserrat" w:cs="Arial"/>
                <w:snapToGrid w:val="0"/>
                <w:color w:val="000000"/>
                <w:sz w:val="20"/>
                <w:szCs w:val="20"/>
              </w:rPr>
            </w:pPr>
          </w:p>
        </w:tc>
        <w:tc>
          <w:tcPr>
            <w:tcW w:w="4244" w:type="dxa"/>
            <w:tcBorders>
              <w:top w:val="single" w:sz="4" w:space="0" w:color="auto"/>
              <w:left w:val="single" w:sz="4" w:space="0" w:color="auto"/>
              <w:bottom w:val="single" w:sz="4" w:space="0" w:color="auto"/>
            </w:tcBorders>
          </w:tcPr>
          <w:p w14:paraId="49E3E8BE" w14:textId="77777777" w:rsidR="00432444" w:rsidRPr="00B87C85" w:rsidRDefault="00432444" w:rsidP="002144D5">
            <w:pPr>
              <w:widowControl w:val="0"/>
              <w:jc w:val="center"/>
              <w:rPr>
                <w:rFonts w:ascii="Montserrat" w:hAnsi="Montserrat" w:cs="Arial"/>
                <w:snapToGrid w:val="0"/>
                <w:color w:val="000000"/>
                <w:sz w:val="20"/>
                <w:szCs w:val="20"/>
              </w:rPr>
            </w:pPr>
          </w:p>
        </w:tc>
      </w:tr>
      <w:tr w:rsidR="00432444" w:rsidRPr="00B87C85" w14:paraId="1B952DC6" w14:textId="77777777" w:rsidTr="002144D5">
        <w:tc>
          <w:tcPr>
            <w:tcW w:w="574" w:type="dxa"/>
            <w:tcBorders>
              <w:top w:val="single" w:sz="4" w:space="0" w:color="auto"/>
              <w:bottom w:val="single" w:sz="4" w:space="0" w:color="auto"/>
              <w:right w:val="single" w:sz="4" w:space="0" w:color="auto"/>
            </w:tcBorders>
          </w:tcPr>
          <w:p w14:paraId="370000A3" w14:textId="13351DA9" w:rsidR="00432444" w:rsidRPr="00B87C85" w:rsidRDefault="00B87C85"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2</w:t>
            </w:r>
          </w:p>
        </w:tc>
        <w:tc>
          <w:tcPr>
            <w:tcW w:w="5706" w:type="dxa"/>
            <w:tcBorders>
              <w:top w:val="single" w:sz="4" w:space="0" w:color="auto"/>
              <w:left w:val="single" w:sz="4" w:space="0" w:color="auto"/>
              <w:bottom w:val="single" w:sz="4" w:space="0" w:color="auto"/>
              <w:right w:val="single" w:sz="4" w:space="0" w:color="auto"/>
            </w:tcBorders>
          </w:tcPr>
          <w:p w14:paraId="162544CF" w14:textId="7E33E6D2" w:rsidR="00432444" w:rsidRPr="00B87C85" w:rsidRDefault="00432444" w:rsidP="002144D5">
            <w:pPr>
              <w:widowControl w:val="0"/>
              <w:rPr>
                <w:rFonts w:ascii="Montserrat" w:hAnsi="Montserrat" w:cs="Arial"/>
                <w:snapToGrid w:val="0"/>
                <w:color w:val="000000"/>
                <w:sz w:val="20"/>
                <w:szCs w:val="20"/>
              </w:rPr>
            </w:pPr>
            <w:r w:rsidRPr="00B87C85">
              <w:rPr>
                <w:rFonts w:ascii="Montserrat" w:hAnsi="Montserrat" w:cs="Arial"/>
                <w:snapToGrid w:val="0"/>
                <w:color w:val="000000"/>
                <w:sz w:val="20"/>
                <w:szCs w:val="20"/>
              </w:rPr>
              <w:t xml:space="preserve">Timely delivery of </w:t>
            </w:r>
            <w:r w:rsidR="00B87C85" w:rsidRPr="00B87C85">
              <w:rPr>
                <w:rFonts w:ascii="Montserrat" w:hAnsi="Montserrat" w:cs="Arial"/>
                <w:snapToGrid w:val="0"/>
                <w:color w:val="000000"/>
                <w:sz w:val="20"/>
                <w:szCs w:val="20"/>
              </w:rPr>
              <w:t xml:space="preserve">services </w:t>
            </w:r>
          </w:p>
        </w:tc>
        <w:tc>
          <w:tcPr>
            <w:tcW w:w="1370" w:type="dxa"/>
            <w:tcBorders>
              <w:top w:val="single" w:sz="4" w:space="0" w:color="auto"/>
              <w:left w:val="single" w:sz="4" w:space="0" w:color="auto"/>
              <w:bottom w:val="nil"/>
              <w:right w:val="single" w:sz="4" w:space="0" w:color="auto"/>
            </w:tcBorders>
          </w:tcPr>
          <w:p w14:paraId="2ECD79A4" w14:textId="77777777" w:rsidR="00432444" w:rsidRPr="00B87C85" w:rsidRDefault="00432444"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10</w:t>
            </w:r>
          </w:p>
        </w:tc>
        <w:tc>
          <w:tcPr>
            <w:tcW w:w="1559" w:type="dxa"/>
            <w:tcBorders>
              <w:top w:val="single" w:sz="4" w:space="0" w:color="auto"/>
              <w:left w:val="single" w:sz="4" w:space="0" w:color="auto"/>
              <w:bottom w:val="nil"/>
              <w:right w:val="single" w:sz="4" w:space="0" w:color="auto"/>
            </w:tcBorders>
          </w:tcPr>
          <w:p w14:paraId="1BC04426" w14:textId="77777777" w:rsidR="00432444" w:rsidRPr="00B87C85" w:rsidRDefault="00432444" w:rsidP="002144D5">
            <w:pPr>
              <w:widowControl w:val="0"/>
              <w:jc w:val="center"/>
              <w:rPr>
                <w:rFonts w:ascii="Montserrat" w:hAnsi="Montserrat" w:cs="Arial"/>
                <w:snapToGrid w:val="0"/>
                <w:color w:val="000000"/>
                <w:sz w:val="20"/>
                <w:szCs w:val="20"/>
              </w:rPr>
            </w:pPr>
          </w:p>
        </w:tc>
        <w:tc>
          <w:tcPr>
            <w:tcW w:w="1276" w:type="dxa"/>
            <w:tcBorders>
              <w:top w:val="single" w:sz="4" w:space="0" w:color="auto"/>
              <w:left w:val="single" w:sz="4" w:space="0" w:color="auto"/>
              <w:bottom w:val="nil"/>
              <w:right w:val="single" w:sz="4" w:space="0" w:color="auto"/>
            </w:tcBorders>
          </w:tcPr>
          <w:p w14:paraId="3A0328CB" w14:textId="77777777" w:rsidR="00432444" w:rsidRPr="00B87C85" w:rsidRDefault="00432444" w:rsidP="002144D5">
            <w:pPr>
              <w:widowControl w:val="0"/>
              <w:jc w:val="center"/>
              <w:rPr>
                <w:rFonts w:ascii="Montserrat" w:hAnsi="Montserrat" w:cs="Arial"/>
                <w:snapToGrid w:val="0"/>
                <w:color w:val="000000"/>
                <w:sz w:val="20"/>
                <w:szCs w:val="20"/>
              </w:rPr>
            </w:pPr>
          </w:p>
        </w:tc>
        <w:tc>
          <w:tcPr>
            <w:tcW w:w="4244" w:type="dxa"/>
            <w:tcBorders>
              <w:top w:val="single" w:sz="4" w:space="0" w:color="auto"/>
              <w:left w:val="single" w:sz="4" w:space="0" w:color="auto"/>
              <w:bottom w:val="single" w:sz="4" w:space="0" w:color="auto"/>
            </w:tcBorders>
          </w:tcPr>
          <w:p w14:paraId="2640B60F" w14:textId="77777777" w:rsidR="00432444" w:rsidRPr="00B87C85" w:rsidRDefault="00432444" w:rsidP="002144D5">
            <w:pPr>
              <w:widowControl w:val="0"/>
              <w:jc w:val="center"/>
              <w:rPr>
                <w:rFonts w:ascii="Montserrat" w:hAnsi="Montserrat" w:cs="Arial"/>
                <w:snapToGrid w:val="0"/>
                <w:color w:val="000000"/>
                <w:sz w:val="20"/>
                <w:szCs w:val="20"/>
              </w:rPr>
            </w:pPr>
          </w:p>
        </w:tc>
      </w:tr>
      <w:tr w:rsidR="00432444" w:rsidRPr="00B87C85" w14:paraId="72F0C461" w14:textId="77777777" w:rsidTr="002144D5">
        <w:tc>
          <w:tcPr>
            <w:tcW w:w="574" w:type="dxa"/>
            <w:tcBorders>
              <w:top w:val="single" w:sz="4" w:space="0" w:color="auto"/>
              <w:bottom w:val="single" w:sz="4" w:space="0" w:color="auto"/>
              <w:right w:val="single" w:sz="4" w:space="0" w:color="auto"/>
            </w:tcBorders>
          </w:tcPr>
          <w:p w14:paraId="7AE50DEB" w14:textId="02135EFA" w:rsidR="00432444" w:rsidRPr="00B87C85" w:rsidRDefault="00B87C85"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3</w:t>
            </w:r>
          </w:p>
        </w:tc>
        <w:tc>
          <w:tcPr>
            <w:tcW w:w="5706" w:type="dxa"/>
            <w:tcBorders>
              <w:top w:val="single" w:sz="4" w:space="0" w:color="auto"/>
              <w:left w:val="single" w:sz="4" w:space="0" w:color="auto"/>
              <w:bottom w:val="single" w:sz="4" w:space="0" w:color="auto"/>
              <w:right w:val="single" w:sz="4" w:space="0" w:color="auto"/>
            </w:tcBorders>
          </w:tcPr>
          <w:p w14:paraId="4053E8A2" w14:textId="215E874F" w:rsidR="00432444" w:rsidRPr="00B87C85" w:rsidRDefault="00B87C85" w:rsidP="002144D5">
            <w:pPr>
              <w:widowControl w:val="0"/>
              <w:rPr>
                <w:rFonts w:ascii="Montserrat" w:hAnsi="Montserrat" w:cs="Arial"/>
                <w:snapToGrid w:val="0"/>
                <w:color w:val="000000"/>
                <w:sz w:val="20"/>
                <w:szCs w:val="20"/>
              </w:rPr>
            </w:pPr>
            <w:r w:rsidRPr="00B87C85">
              <w:rPr>
                <w:rFonts w:ascii="Montserrat" w:hAnsi="Montserrat" w:cs="Arial"/>
                <w:snapToGrid w:val="0"/>
                <w:color w:val="000000"/>
                <w:sz w:val="20"/>
                <w:szCs w:val="20"/>
              </w:rPr>
              <w:t xml:space="preserve">Knowledge sharing </w:t>
            </w:r>
          </w:p>
        </w:tc>
        <w:tc>
          <w:tcPr>
            <w:tcW w:w="1370" w:type="dxa"/>
            <w:tcBorders>
              <w:top w:val="single" w:sz="4" w:space="0" w:color="auto"/>
              <w:left w:val="single" w:sz="4" w:space="0" w:color="auto"/>
              <w:bottom w:val="single" w:sz="4" w:space="0" w:color="auto"/>
              <w:right w:val="single" w:sz="4" w:space="0" w:color="auto"/>
            </w:tcBorders>
          </w:tcPr>
          <w:p w14:paraId="6E1056DB" w14:textId="77777777" w:rsidR="00432444" w:rsidRPr="00B87C85" w:rsidRDefault="00432444"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tcPr>
          <w:p w14:paraId="03E0FEC2" w14:textId="77777777" w:rsidR="00432444" w:rsidRPr="00B87C85" w:rsidRDefault="00432444" w:rsidP="002144D5">
            <w:pPr>
              <w:widowControl w:val="0"/>
              <w:jc w:val="center"/>
              <w:rPr>
                <w:rFonts w:ascii="Montserrat" w:hAnsi="Montserrat" w:cs="Arial"/>
                <w:snapToGrid w:val="0"/>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999FADE" w14:textId="77777777" w:rsidR="00432444" w:rsidRPr="00B87C85" w:rsidRDefault="00432444" w:rsidP="002144D5">
            <w:pPr>
              <w:widowControl w:val="0"/>
              <w:jc w:val="center"/>
              <w:rPr>
                <w:rFonts w:ascii="Montserrat" w:hAnsi="Montserrat" w:cs="Arial"/>
                <w:snapToGrid w:val="0"/>
                <w:color w:val="000000"/>
                <w:sz w:val="20"/>
                <w:szCs w:val="20"/>
              </w:rPr>
            </w:pPr>
          </w:p>
        </w:tc>
        <w:tc>
          <w:tcPr>
            <w:tcW w:w="4244" w:type="dxa"/>
            <w:tcBorders>
              <w:top w:val="single" w:sz="4" w:space="0" w:color="auto"/>
              <w:left w:val="single" w:sz="4" w:space="0" w:color="auto"/>
              <w:bottom w:val="single" w:sz="4" w:space="0" w:color="auto"/>
            </w:tcBorders>
          </w:tcPr>
          <w:p w14:paraId="5339FECC" w14:textId="77777777" w:rsidR="00432444" w:rsidRPr="00B87C85" w:rsidRDefault="00432444" w:rsidP="002144D5">
            <w:pPr>
              <w:widowControl w:val="0"/>
              <w:jc w:val="center"/>
              <w:rPr>
                <w:rFonts w:ascii="Montserrat" w:hAnsi="Montserrat" w:cs="Arial"/>
                <w:snapToGrid w:val="0"/>
                <w:color w:val="000000"/>
                <w:sz w:val="20"/>
                <w:szCs w:val="20"/>
              </w:rPr>
            </w:pPr>
          </w:p>
        </w:tc>
      </w:tr>
      <w:tr w:rsidR="00432444" w:rsidRPr="00B87C85" w14:paraId="1428EE6D" w14:textId="77777777" w:rsidTr="002144D5">
        <w:tc>
          <w:tcPr>
            <w:tcW w:w="574" w:type="dxa"/>
            <w:tcBorders>
              <w:top w:val="single" w:sz="4" w:space="0" w:color="auto"/>
              <w:bottom w:val="single" w:sz="4" w:space="0" w:color="auto"/>
              <w:right w:val="single" w:sz="4" w:space="0" w:color="auto"/>
            </w:tcBorders>
          </w:tcPr>
          <w:p w14:paraId="19AAA923" w14:textId="7B5139E7" w:rsidR="00432444" w:rsidRPr="00B87C85" w:rsidRDefault="00B87C85"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4</w:t>
            </w:r>
          </w:p>
        </w:tc>
        <w:tc>
          <w:tcPr>
            <w:tcW w:w="5706" w:type="dxa"/>
            <w:tcBorders>
              <w:top w:val="single" w:sz="4" w:space="0" w:color="auto"/>
              <w:left w:val="single" w:sz="4" w:space="0" w:color="auto"/>
              <w:bottom w:val="single" w:sz="4" w:space="0" w:color="auto"/>
              <w:right w:val="single" w:sz="4" w:space="0" w:color="auto"/>
            </w:tcBorders>
          </w:tcPr>
          <w:p w14:paraId="43276CC5" w14:textId="77777777" w:rsidR="00432444" w:rsidRPr="00B87C85" w:rsidRDefault="00432444" w:rsidP="002144D5">
            <w:pPr>
              <w:widowControl w:val="0"/>
              <w:rPr>
                <w:rFonts w:ascii="Montserrat" w:hAnsi="Montserrat" w:cs="Arial"/>
                <w:snapToGrid w:val="0"/>
                <w:color w:val="000000"/>
                <w:sz w:val="20"/>
                <w:szCs w:val="20"/>
              </w:rPr>
            </w:pPr>
            <w:r w:rsidRPr="00B87C85">
              <w:rPr>
                <w:rFonts w:ascii="Montserrat" w:hAnsi="Montserrat" w:cs="Arial"/>
                <w:bCs/>
                <w:sz w:val="20"/>
                <w:szCs w:val="20"/>
              </w:rPr>
              <w:t>Ease of Contact / Resolution of Queries</w:t>
            </w:r>
          </w:p>
        </w:tc>
        <w:tc>
          <w:tcPr>
            <w:tcW w:w="1370" w:type="dxa"/>
            <w:tcBorders>
              <w:top w:val="single" w:sz="4" w:space="0" w:color="auto"/>
              <w:left w:val="single" w:sz="4" w:space="0" w:color="auto"/>
              <w:bottom w:val="nil"/>
              <w:right w:val="single" w:sz="4" w:space="0" w:color="auto"/>
            </w:tcBorders>
          </w:tcPr>
          <w:p w14:paraId="5A849F3A" w14:textId="77777777" w:rsidR="00432444" w:rsidRPr="00B87C85" w:rsidRDefault="00432444"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10</w:t>
            </w:r>
          </w:p>
        </w:tc>
        <w:tc>
          <w:tcPr>
            <w:tcW w:w="1559" w:type="dxa"/>
            <w:tcBorders>
              <w:top w:val="single" w:sz="4" w:space="0" w:color="auto"/>
              <w:left w:val="single" w:sz="4" w:space="0" w:color="auto"/>
              <w:bottom w:val="nil"/>
              <w:right w:val="single" w:sz="4" w:space="0" w:color="auto"/>
            </w:tcBorders>
          </w:tcPr>
          <w:p w14:paraId="2CDD4FDC" w14:textId="77777777" w:rsidR="00432444" w:rsidRPr="00B87C85" w:rsidRDefault="00432444" w:rsidP="002144D5">
            <w:pPr>
              <w:widowControl w:val="0"/>
              <w:jc w:val="center"/>
              <w:rPr>
                <w:rFonts w:ascii="Montserrat" w:hAnsi="Montserrat" w:cs="Arial"/>
                <w:snapToGrid w:val="0"/>
                <w:color w:val="000000"/>
                <w:sz w:val="20"/>
                <w:szCs w:val="20"/>
              </w:rPr>
            </w:pPr>
          </w:p>
        </w:tc>
        <w:tc>
          <w:tcPr>
            <w:tcW w:w="1276" w:type="dxa"/>
            <w:tcBorders>
              <w:top w:val="single" w:sz="4" w:space="0" w:color="auto"/>
              <w:left w:val="single" w:sz="4" w:space="0" w:color="auto"/>
              <w:bottom w:val="nil"/>
              <w:right w:val="single" w:sz="4" w:space="0" w:color="auto"/>
            </w:tcBorders>
          </w:tcPr>
          <w:p w14:paraId="414D71F4" w14:textId="77777777" w:rsidR="00432444" w:rsidRPr="00B87C85" w:rsidRDefault="00432444" w:rsidP="002144D5">
            <w:pPr>
              <w:widowControl w:val="0"/>
              <w:jc w:val="center"/>
              <w:rPr>
                <w:rFonts w:ascii="Montserrat" w:hAnsi="Montserrat" w:cs="Arial"/>
                <w:snapToGrid w:val="0"/>
                <w:color w:val="000000"/>
                <w:sz w:val="20"/>
                <w:szCs w:val="20"/>
              </w:rPr>
            </w:pPr>
          </w:p>
        </w:tc>
        <w:tc>
          <w:tcPr>
            <w:tcW w:w="4244" w:type="dxa"/>
            <w:tcBorders>
              <w:top w:val="single" w:sz="4" w:space="0" w:color="auto"/>
              <w:left w:val="single" w:sz="4" w:space="0" w:color="auto"/>
              <w:bottom w:val="single" w:sz="4" w:space="0" w:color="auto"/>
            </w:tcBorders>
          </w:tcPr>
          <w:p w14:paraId="53197EF9" w14:textId="77777777" w:rsidR="00432444" w:rsidRPr="00B87C85" w:rsidRDefault="00432444" w:rsidP="002144D5">
            <w:pPr>
              <w:widowControl w:val="0"/>
              <w:jc w:val="center"/>
              <w:rPr>
                <w:rFonts w:ascii="Montserrat" w:hAnsi="Montserrat" w:cs="Arial"/>
                <w:snapToGrid w:val="0"/>
                <w:color w:val="000000"/>
                <w:sz w:val="20"/>
                <w:szCs w:val="20"/>
              </w:rPr>
            </w:pPr>
          </w:p>
        </w:tc>
      </w:tr>
      <w:tr w:rsidR="00432444" w:rsidRPr="00B87C85" w14:paraId="1CF9DBE3" w14:textId="77777777" w:rsidTr="002144D5">
        <w:tc>
          <w:tcPr>
            <w:tcW w:w="574" w:type="dxa"/>
            <w:tcBorders>
              <w:top w:val="single" w:sz="4" w:space="0" w:color="auto"/>
              <w:bottom w:val="single" w:sz="4" w:space="0" w:color="auto"/>
              <w:right w:val="single" w:sz="4" w:space="0" w:color="auto"/>
            </w:tcBorders>
          </w:tcPr>
          <w:p w14:paraId="014F8885" w14:textId="77777777" w:rsidR="00432444" w:rsidRPr="00B87C85" w:rsidRDefault="00432444" w:rsidP="002144D5">
            <w:pPr>
              <w:widowControl w:val="0"/>
              <w:rPr>
                <w:rFonts w:ascii="Montserrat" w:hAnsi="Montserrat" w:cs="Arial"/>
                <w:snapToGrid w:val="0"/>
                <w:color w:val="000000"/>
                <w:sz w:val="20"/>
                <w:szCs w:val="20"/>
              </w:rPr>
            </w:pPr>
          </w:p>
        </w:tc>
        <w:tc>
          <w:tcPr>
            <w:tcW w:w="5706" w:type="dxa"/>
            <w:tcBorders>
              <w:top w:val="single" w:sz="4" w:space="0" w:color="auto"/>
              <w:left w:val="single" w:sz="4" w:space="0" w:color="auto"/>
              <w:bottom w:val="single" w:sz="4" w:space="0" w:color="auto"/>
              <w:right w:val="single" w:sz="4" w:space="0" w:color="auto"/>
            </w:tcBorders>
          </w:tcPr>
          <w:p w14:paraId="6334FD47" w14:textId="77777777" w:rsidR="00432444" w:rsidRPr="00B87C85" w:rsidRDefault="00432444" w:rsidP="002144D5">
            <w:pPr>
              <w:widowControl w:val="0"/>
              <w:jc w:val="center"/>
              <w:rPr>
                <w:rFonts w:ascii="Montserrat" w:hAnsi="Montserrat" w:cs="Arial"/>
                <w:snapToGrid w:val="0"/>
                <w:color w:val="000000"/>
                <w:sz w:val="20"/>
                <w:szCs w:val="20"/>
              </w:rPr>
            </w:pPr>
            <w:r w:rsidRPr="00B87C85">
              <w:rPr>
                <w:rFonts w:ascii="Montserrat" w:hAnsi="Montserrat" w:cs="Arial"/>
                <w:b/>
                <w:i/>
                <w:snapToGrid w:val="0"/>
                <w:color w:val="000000"/>
                <w:sz w:val="20"/>
                <w:szCs w:val="20"/>
              </w:rPr>
              <w:t>FINANCE and ADMINISTRATION</w:t>
            </w:r>
          </w:p>
        </w:tc>
        <w:tc>
          <w:tcPr>
            <w:tcW w:w="1370" w:type="dxa"/>
            <w:tcBorders>
              <w:top w:val="single" w:sz="4" w:space="0" w:color="auto"/>
              <w:left w:val="single" w:sz="4" w:space="0" w:color="auto"/>
              <w:bottom w:val="single" w:sz="4" w:space="0" w:color="auto"/>
              <w:right w:val="single" w:sz="4" w:space="0" w:color="auto"/>
            </w:tcBorders>
            <w:shd w:val="pct37" w:color="auto" w:fill="FFFFFF"/>
          </w:tcPr>
          <w:p w14:paraId="02E57805" w14:textId="77777777" w:rsidR="00432444" w:rsidRPr="00B87C85" w:rsidRDefault="00432444" w:rsidP="002144D5">
            <w:pPr>
              <w:widowControl w:val="0"/>
              <w:jc w:val="center"/>
              <w:rPr>
                <w:rFonts w:ascii="Montserrat" w:hAnsi="Montserrat" w:cs="Arial"/>
                <w:snapToGrid w:val="0"/>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pct37" w:color="auto" w:fill="FFFFFF"/>
          </w:tcPr>
          <w:p w14:paraId="383A13FC" w14:textId="77777777" w:rsidR="00432444" w:rsidRPr="00B87C85" w:rsidRDefault="00432444" w:rsidP="002144D5">
            <w:pPr>
              <w:widowControl w:val="0"/>
              <w:jc w:val="center"/>
              <w:rPr>
                <w:rFonts w:ascii="Montserrat" w:hAnsi="Montserrat" w:cs="Arial"/>
                <w:snapToGrid w:val="0"/>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pct37" w:color="auto" w:fill="FFFFFF"/>
          </w:tcPr>
          <w:p w14:paraId="271D7EEC" w14:textId="77777777" w:rsidR="00432444" w:rsidRPr="00B87C85" w:rsidRDefault="00432444" w:rsidP="002144D5">
            <w:pPr>
              <w:widowControl w:val="0"/>
              <w:jc w:val="center"/>
              <w:rPr>
                <w:rFonts w:ascii="Montserrat" w:hAnsi="Montserrat" w:cs="Arial"/>
                <w:snapToGrid w:val="0"/>
                <w:color w:val="000000"/>
                <w:sz w:val="20"/>
                <w:szCs w:val="20"/>
              </w:rPr>
            </w:pPr>
          </w:p>
        </w:tc>
        <w:tc>
          <w:tcPr>
            <w:tcW w:w="4244" w:type="dxa"/>
            <w:tcBorders>
              <w:top w:val="single" w:sz="4" w:space="0" w:color="auto"/>
              <w:left w:val="single" w:sz="4" w:space="0" w:color="auto"/>
              <w:bottom w:val="single" w:sz="4" w:space="0" w:color="auto"/>
            </w:tcBorders>
          </w:tcPr>
          <w:p w14:paraId="319ADC15" w14:textId="77777777" w:rsidR="00432444" w:rsidRPr="00B87C85" w:rsidRDefault="00432444" w:rsidP="002144D5">
            <w:pPr>
              <w:widowControl w:val="0"/>
              <w:jc w:val="center"/>
              <w:rPr>
                <w:rFonts w:ascii="Montserrat" w:hAnsi="Montserrat" w:cs="Arial"/>
                <w:snapToGrid w:val="0"/>
                <w:color w:val="000000"/>
                <w:sz w:val="20"/>
                <w:szCs w:val="20"/>
              </w:rPr>
            </w:pPr>
          </w:p>
        </w:tc>
      </w:tr>
      <w:tr w:rsidR="00432444" w:rsidRPr="00B87C85" w14:paraId="515E063E" w14:textId="77777777" w:rsidTr="002144D5">
        <w:tc>
          <w:tcPr>
            <w:tcW w:w="574" w:type="dxa"/>
            <w:tcBorders>
              <w:top w:val="single" w:sz="4" w:space="0" w:color="auto"/>
              <w:bottom w:val="nil"/>
              <w:right w:val="single" w:sz="4" w:space="0" w:color="auto"/>
            </w:tcBorders>
          </w:tcPr>
          <w:p w14:paraId="3875472B" w14:textId="67ACE0AD" w:rsidR="00432444" w:rsidRPr="00B87C85" w:rsidRDefault="00B87C85"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5</w:t>
            </w:r>
          </w:p>
        </w:tc>
        <w:tc>
          <w:tcPr>
            <w:tcW w:w="5706" w:type="dxa"/>
            <w:tcBorders>
              <w:top w:val="single" w:sz="4" w:space="0" w:color="auto"/>
              <w:left w:val="single" w:sz="4" w:space="0" w:color="auto"/>
              <w:bottom w:val="single" w:sz="4" w:space="0" w:color="auto"/>
              <w:right w:val="single" w:sz="4" w:space="0" w:color="auto"/>
            </w:tcBorders>
          </w:tcPr>
          <w:p w14:paraId="0637FCD7" w14:textId="54174C21" w:rsidR="00432444" w:rsidRPr="00B87C85" w:rsidRDefault="00432444" w:rsidP="002144D5">
            <w:pPr>
              <w:widowControl w:val="0"/>
              <w:rPr>
                <w:rFonts w:ascii="Montserrat" w:hAnsi="Montserrat" w:cs="Arial"/>
                <w:snapToGrid w:val="0"/>
                <w:color w:val="000000"/>
                <w:sz w:val="20"/>
                <w:szCs w:val="20"/>
              </w:rPr>
            </w:pPr>
            <w:r w:rsidRPr="00B87C85">
              <w:rPr>
                <w:rFonts w:ascii="Montserrat" w:hAnsi="Montserrat" w:cs="Arial"/>
                <w:snapToGrid w:val="0"/>
                <w:color w:val="000000"/>
                <w:sz w:val="20"/>
                <w:szCs w:val="20"/>
              </w:rPr>
              <w:t>Accuracy of Invoices / Standard of Documentation</w:t>
            </w:r>
          </w:p>
        </w:tc>
        <w:tc>
          <w:tcPr>
            <w:tcW w:w="1370" w:type="dxa"/>
            <w:tcBorders>
              <w:top w:val="single" w:sz="4" w:space="0" w:color="auto"/>
              <w:left w:val="single" w:sz="4" w:space="0" w:color="auto"/>
              <w:bottom w:val="single" w:sz="4" w:space="0" w:color="auto"/>
              <w:right w:val="single" w:sz="4" w:space="0" w:color="auto"/>
            </w:tcBorders>
          </w:tcPr>
          <w:p w14:paraId="2CEB6AC5" w14:textId="77777777" w:rsidR="00432444" w:rsidRPr="00B87C85" w:rsidRDefault="00432444"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tcPr>
          <w:p w14:paraId="5E6BD6EA" w14:textId="77777777" w:rsidR="00432444" w:rsidRPr="00B87C85" w:rsidRDefault="00432444" w:rsidP="002144D5">
            <w:pPr>
              <w:widowControl w:val="0"/>
              <w:jc w:val="center"/>
              <w:rPr>
                <w:rFonts w:ascii="Montserrat" w:hAnsi="Montserrat" w:cs="Arial"/>
                <w:snapToGrid w:val="0"/>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A20B68E" w14:textId="77777777" w:rsidR="00432444" w:rsidRPr="00B87C85" w:rsidRDefault="00432444" w:rsidP="002144D5">
            <w:pPr>
              <w:widowControl w:val="0"/>
              <w:jc w:val="center"/>
              <w:rPr>
                <w:rFonts w:ascii="Montserrat" w:hAnsi="Montserrat" w:cs="Arial"/>
                <w:snapToGrid w:val="0"/>
                <w:color w:val="000000"/>
                <w:sz w:val="20"/>
                <w:szCs w:val="20"/>
              </w:rPr>
            </w:pPr>
          </w:p>
        </w:tc>
        <w:tc>
          <w:tcPr>
            <w:tcW w:w="4244" w:type="dxa"/>
            <w:tcBorders>
              <w:top w:val="single" w:sz="4" w:space="0" w:color="auto"/>
              <w:left w:val="single" w:sz="4" w:space="0" w:color="auto"/>
              <w:bottom w:val="nil"/>
            </w:tcBorders>
          </w:tcPr>
          <w:p w14:paraId="040866D7" w14:textId="77777777" w:rsidR="00432444" w:rsidRPr="00B87C85" w:rsidRDefault="00432444" w:rsidP="002144D5">
            <w:pPr>
              <w:widowControl w:val="0"/>
              <w:jc w:val="center"/>
              <w:rPr>
                <w:rFonts w:ascii="Montserrat" w:hAnsi="Montserrat" w:cs="Arial"/>
                <w:snapToGrid w:val="0"/>
                <w:color w:val="000000"/>
                <w:sz w:val="20"/>
                <w:szCs w:val="20"/>
              </w:rPr>
            </w:pPr>
          </w:p>
        </w:tc>
      </w:tr>
      <w:tr w:rsidR="00432444" w:rsidRPr="00B87C85" w14:paraId="3B83C9C9" w14:textId="77777777" w:rsidTr="002144D5">
        <w:tc>
          <w:tcPr>
            <w:tcW w:w="574" w:type="dxa"/>
            <w:tcBorders>
              <w:top w:val="single" w:sz="4" w:space="0" w:color="auto"/>
              <w:bottom w:val="single" w:sz="4" w:space="0" w:color="auto"/>
              <w:right w:val="single" w:sz="4" w:space="0" w:color="auto"/>
            </w:tcBorders>
          </w:tcPr>
          <w:p w14:paraId="1F2264F2" w14:textId="3DCAE2E2" w:rsidR="00432444" w:rsidRPr="00B87C85" w:rsidRDefault="00B87C85"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6</w:t>
            </w:r>
          </w:p>
        </w:tc>
        <w:tc>
          <w:tcPr>
            <w:tcW w:w="5706" w:type="dxa"/>
            <w:tcBorders>
              <w:top w:val="single" w:sz="4" w:space="0" w:color="auto"/>
              <w:left w:val="single" w:sz="4" w:space="0" w:color="auto"/>
              <w:bottom w:val="nil"/>
              <w:right w:val="single" w:sz="4" w:space="0" w:color="auto"/>
            </w:tcBorders>
          </w:tcPr>
          <w:p w14:paraId="05876B63" w14:textId="77777777" w:rsidR="00432444" w:rsidRPr="00B87C85" w:rsidRDefault="00432444" w:rsidP="002144D5">
            <w:pPr>
              <w:widowControl w:val="0"/>
              <w:rPr>
                <w:rFonts w:ascii="Montserrat" w:hAnsi="Montserrat" w:cs="Arial"/>
                <w:snapToGrid w:val="0"/>
                <w:color w:val="000000"/>
                <w:sz w:val="20"/>
                <w:szCs w:val="20"/>
              </w:rPr>
            </w:pPr>
            <w:r w:rsidRPr="00B87C85">
              <w:rPr>
                <w:rFonts w:ascii="Montserrat" w:hAnsi="Montserrat" w:cs="Arial"/>
                <w:snapToGrid w:val="0"/>
                <w:color w:val="000000"/>
                <w:sz w:val="20"/>
                <w:szCs w:val="20"/>
              </w:rPr>
              <w:t>Only staff approved to work on the contract are charged under the invoices</w:t>
            </w:r>
          </w:p>
        </w:tc>
        <w:tc>
          <w:tcPr>
            <w:tcW w:w="1370" w:type="dxa"/>
            <w:tcBorders>
              <w:top w:val="single" w:sz="4" w:space="0" w:color="auto"/>
              <w:left w:val="single" w:sz="4" w:space="0" w:color="auto"/>
              <w:bottom w:val="single" w:sz="4" w:space="0" w:color="auto"/>
              <w:right w:val="single" w:sz="4" w:space="0" w:color="auto"/>
            </w:tcBorders>
          </w:tcPr>
          <w:p w14:paraId="372F75C7" w14:textId="77777777" w:rsidR="00432444" w:rsidRPr="00B87C85" w:rsidRDefault="00432444"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tcPr>
          <w:p w14:paraId="32C631B4" w14:textId="77777777" w:rsidR="00432444" w:rsidRPr="00B87C85" w:rsidRDefault="00432444" w:rsidP="002144D5">
            <w:pPr>
              <w:widowControl w:val="0"/>
              <w:jc w:val="center"/>
              <w:rPr>
                <w:rFonts w:ascii="Montserrat" w:hAnsi="Montserrat" w:cs="Arial"/>
                <w:snapToGrid w:val="0"/>
                <w:color w:val="000000"/>
                <w:sz w:val="20"/>
                <w:szCs w:val="20"/>
              </w:rPr>
            </w:pPr>
          </w:p>
        </w:tc>
        <w:tc>
          <w:tcPr>
            <w:tcW w:w="1276" w:type="dxa"/>
            <w:tcBorders>
              <w:top w:val="single" w:sz="4" w:space="0" w:color="auto"/>
              <w:left w:val="single" w:sz="4" w:space="0" w:color="auto"/>
              <w:bottom w:val="nil"/>
              <w:right w:val="nil"/>
            </w:tcBorders>
          </w:tcPr>
          <w:p w14:paraId="786D9B22" w14:textId="77777777" w:rsidR="00432444" w:rsidRPr="00B87C85" w:rsidRDefault="00432444" w:rsidP="002144D5">
            <w:pPr>
              <w:widowControl w:val="0"/>
              <w:jc w:val="center"/>
              <w:rPr>
                <w:rFonts w:ascii="Montserrat" w:hAnsi="Montserrat" w:cs="Arial"/>
                <w:snapToGrid w:val="0"/>
                <w:color w:val="000000"/>
                <w:sz w:val="20"/>
                <w:szCs w:val="20"/>
              </w:rPr>
            </w:pPr>
          </w:p>
        </w:tc>
        <w:tc>
          <w:tcPr>
            <w:tcW w:w="4244" w:type="dxa"/>
            <w:tcBorders>
              <w:top w:val="single" w:sz="4" w:space="0" w:color="auto"/>
              <w:left w:val="single" w:sz="4" w:space="0" w:color="auto"/>
              <w:bottom w:val="single" w:sz="4" w:space="0" w:color="auto"/>
            </w:tcBorders>
          </w:tcPr>
          <w:p w14:paraId="1FE551E7" w14:textId="77777777" w:rsidR="00432444" w:rsidRPr="00B87C85" w:rsidRDefault="00432444" w:rsidP="002144D5">
            <w:pPr>
              <w:widowControl w:val="0"/>
              <w:jc w:val="center"/>
              <w:rPr>
                <w:rFonts w:ascii="Montserrat" w:hAnsi="Montserrat" w:cs="Arial"/>
                <w:snapToGrid w:val="0"/>
                <w:color w:val="000000"/>
                <w:sz w:val="20"/>
                <w:szCs w:val="20"/>
              </w:rPr>
            </w:pPr>
          </w:p>
        </w:tc>
      </w:tr>
      <w:tr w:rsidR="00432444" w:rsidRPr="00B87C85" w14:paraId="544EA300" w14:textId="77777777" w:rsidTr="002144D5">
        <w:tc>
          <w:tcPr>
            <w:tcW w:w="574" w:type="dxa"/>
            <w:tcBorders>
              <w:top w:val="single" w:sz="4" w:space="0" w:color="auto"/>
              <w:bottom w:val="single" w:sz="4" w:space="0" w:color="auto"/>
              <w:right w:val="single" w:sz="4" w:space="0" w:color="auto"/>
            </w:tcBorders>
          </w:tcPr>
          <w:p w14:paraId="49E0E6B5" w14:textId="1A86D0C2" w:rsidR="00432444" w:rsidRPr="00B87C85" w:rsidRDefault="00B87C85" w:rsidP="002144D5">
            <w:pPr>
              <w:widowControl w:val="0"/>
              <w:jc w:val="center"/>
              <w:rPr>
                <w:rFonts w:ascii="Montserrat" w:hAnsi="Montserrat" w:cs="Arial"/>
                <w:snapToGrid w:val="0"/>
                <w:color w:val="000000"/>
                <w:sz w:val="20"/>
                <w:szCs w:val="20"/>
              </w:rPr>
            </w:pPr>
            <w:r>
              <w:rPr>
                <w:rFonts w:ascii="Montserrat" w:hAnsi="Montserrat" w:cs="Arial"/>
                <w:snapToGrid w:val="0"/>
                <w:color w:val="000000"/>
                <w:sz w:val="20"/>
                <w:szCs w:val="20"/>
              </w:rPr>
              <w:t>7</w:t>
            </w:r>
          </w:p>
        </w:tc>
        <w:tc>
          <w:tcPr>
            <w:tcW w:w="5706" w:type="dxa"/>
            <w:tcBorders>
              <w:top w:val="single" w:sz="4" w:space="0" w:color="auto"/>
              <w:left w:val="single" w:sz="4" w:space="0" w:color="auto"/>
              <w:bottom w:val="nil"/>
              <w:right w:val="single" w:sz="4" w:space="0" w:color="auto"/>
            </w:tcBorders>
          </w:tcPr>
          <w:p w14:paraId="53FF7A8E" w14:textId="77777777" w:rsidR="00432444" w:rsidRPr="00B87C85" w:rsidRDefault="00432444" w:rsidP="002144D5">
            <w:pPr>
              <w:widowControl w:val="0"/>
              <w:rPr>
                <w:rFonts w:ascii="Montserrat" w:hAnsi="Montserrat" w:cs="Arial"/>
                <w:snapToGrid w:val="0"/>
                <w:color w:val="000000"/>
                <w:sz w:val="20"/>
                <w:szCs w:val="20"/>
              </w:rPr>
            </w:pPr>
            <w:r w:rsidRPr="00B87C85">
              <w:rPr>
                <w:rFonts w:ascii="Montserrat" w:hAnsi="Montserrat" w:cs="Arial"/>
                <w:snapToGrid w:val="0"/>
                <w:color w:val="000000"/>
                <w:sz w:val="20"/>
                <w:szCs w:val="20"/>
              </w:rPr>
              <w:t xml:space="preserve">Costs in line with tendered rates </w:t>
            </w:r>
          </w:p>
        </w:tc>
        <w:tc>
          <w:tcPr>
            <w:tcW w:w="1370" w:type="dxa"/>
            <w:tcBorders>
              <w:top w:val="single" w:sz="4" w:space="0" w:color="auto"/>
              <w:left w:val="single" w:sz="4" w:space="0" w:color="auto"/>
              <w:bottom w:val="single" w:sz="4" w:space="0" w:color="auto"/>
              <w:right w:val="single" w:sz="4" w:space="0" w:color="auto"/>
            </w:tcBorders>
          </w:tcPr>
          <w:p w14:paraId="0B0D7A66" w14:textId="77777777" w:rsidR="00432444" w:rsidRPr="00B87C85" w:rsidRDefault="00432444" w:rsidP="002144D5">
            <w:pPr>
              <w:widowControl w:val="0"/>
              <w:jc w:val="center"/>
              <w:rPr>
                <w:rFonts w:ascii="Montserrat" w:hAnsi="Montserrat" w:cs="Arial"/>
                <w:snapToGrid w:val="0"/>
                <w:color w:val="000000"/>
                <w:sz w:val="20"/>
                <w:szCs w:val="20"/>
              </w:rPr>
            </w:pPr>
            <w:r w:rsidRPr="00B87C85">
              <w:rPr>
                <w:rFonts w:ascii="Montserrat" w:hAnsi="Montserrat" w:cs="Arial"/>
                <w:snapToGrid w:val="0"/>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tcPr>
          <w:p w14:paraId="1F1D423F" w14:textId="77777777" w:rsidR="00432444" w:rsidRPr="00B87C85" w:rsidRDefault="00432444" w:rsidP="002144D5">
            <w:pPr>
              <w:widowControl w:val="0"/>
              <w:jc w:val="center"/>
              <w:rPr>
                <w:rFonts w:ascii="Montserrat" w:hAnsi="Montserrat" w:cs="Arial"/>
                <w:snapToGrid w:val="0"/>
                <w:color w:val="000000"/>
                <w:sz w:val="20"/>
                <w:szCs w:val="20"/>
              </w:rPr>
            </w:pPr>
          </w:p>
        </w:tc>
        <w:tc>
          <w:tcPr>
            <w:tcW w:w="1276" w:type="dxa"/>
            <w:tcBorders>
              <w:top w:val="single" w:sz="4" w:space="0" w:color="auto"/>
              <w:left w:val="single" w:sz="4" w:space="0" w:color="auto"/>
              <w:bottom w:val="nil"/>
              <w:right w:val="nil"/>
            </w:tcBorders>
          </w:tcPr>
          <w:p w14:paraId="40831E4A" w14:textId="77777777" w:rsidR="00432444" w:rsidRPr="00B87C85" w:rsidRDefault="00432444" w:rsidP="002144D5">
            <w:pPr>
              <w:widowControl w:val="0"/>
              <w:jc w:val="center"/>
              <w:rPr>
                <w:rFonts w:ascii="Montserrat" w:hAnsi="Montserrat" w:cs="Arial"/>
                <w:snapToGrid w:val="0"/>
                <w:color w:val="000000"/>
                <w:sz w:val="20"/>
                <w:szCs w:val="20"/>
              </w:rPr>
            </w:pPr>
          </w:p>
        </w:tc>
        <w:tc>
          <w:tcPr>
            <w:tcW w:w="4244" w:type="dxa"/>
            <w:tcBorders>
              <w:top w:val="single" w:sz="4" w:space="0" w:color="auto"/>
              <w:left w:val="single" w:sz="4" w:space="0" w:color="auto"/>
              <w:bottom w:val="single" w:sz="4" w:space="0" w:color="auto"/>
            </w:tcBorders>
          </w:tcPr>
          <w:p w14:paraId="012DC797" w14:textId="77777777" w:rsidR="00432444" w:rsidRPr="00B87C85" w:rsidRDefault="00432444" w:rsidP="002144D5">
            <w:pPr>
              <w:widowControl w:val="0"/>
              <w:jc w:val="center"/>
              <w:rPr>
                <w:rFonts w:ascii="Montserrat" w:hAnsi="Montserrat" w:cs="Arial"/>
                <w:snapToGrid w:val="0"/>
                <w:color w:val="000000"/>
                <w:sz w:val="20"/>
                <w:szCs w:val="20"/>
              </w:rPr>
            </w:pPr>
          </w:p>
        </w:tc>
      </w:tr>
      <w:tr w:rsidR="00432444" w:rsidRPr="00B87C85" w14:paraId="5C1CA022" w14:textId="77777777" w:rsidTr="002144D5">
        <w:tc>
          <w:tcPr>
            <w:tcW w:w="574" w:type="dxa"/>
            <w:tcBorders>
              <w:top w:val="nil"/>
              <w:left w:val="nil"/>
              <w:bottom w:val="nil"/>
              <w:right w:val="nil"/>
            </w:tcBorders>
          </w:tcPr>
          <w:p w14:paraId="67D02B36" w14:textId="77777777" w:rsidR="00432444" w:rsidRPr="00B87C85" w:rsidRDefault="00432444" w:rsidP="002144D5">
            <w:pPr>
              <w:widowControl w:val="0"/>
              <w:jc w:val="center"/>
              <w:rPr>
                <w:rFonts w:ascii="Montserrat" w:hAnsi="Montserrat" w:cs="Arial"/>
                <w:snapToGrid w:val="0"/>
                <w:color w:val="000000"/>
                <w:sz w:val="20"/>
                <w:szCs w:val="20"/>
              </w:rPr>
            </w:pPr>
          </w:p>
        </w:tc>
        <w:tc>
          <w:tcPr>
            <w:tcW w:w="8635" w:type="dxa"/>
            <w:gridSpan w:val="3"/>
            <w:tcBorders>
              <w:top w:val="single" w:sz="4" w:space="0" w:color="auto"/>
              <w:left w:val="single" w:sz="4" w:space="0" w:color="auto"/>
              <w:bottom w:val="single" w:sz="4" w:space="0" w:color="auto"/>
              <w:right w:val="single" w:sz="4" w:space="0" w:color="auto"/>
            </w:tcBorders>
          </w:tcPr>
          <w:p w14:paraId="3816B7B8" w14:textId="213B27EF" w:rsidR="00432444" w:rsidRPr="00B87C85" w:rsidRDefault="00432444" w:rsidP="002144D5">
            <w:pPr>
              <w:widowControl w:val="0"/>
              <w:jc w:val="center"/>
              <w:rPr>
                <w:rFonts w:ascii="Montserrat" w:hAnsi="Montserrat" w:cs="Arial"/>
                <w:snapToGrid w:val="0"/>
                <w:color w:val="000000"/>
                <w:sz w:val="20"/>
                <w:szCs w:val="20"/>
              </w:rPr>
            </w:pPr>
            <w:r w:rsidRPr="00B87C85">
              <w:rPr>
                <w:rFonts w:ascii="Montserrat" w:hAnsi="Montserrat" w:cs="Arial"/>
                <w:b/>
                <w:snapToGrid w:val="0"/>
                <w:color w:val="000000"/>
                <w:sz w:val="20"/>
                <w:szCs w:val="20"/>
              </w:rPr>
              <w:t xml:space="preserve">Total Score out of </w:t>
            </w:r>
            <w:r w:rsidR="00B87C85" w:rsidRPr="00B87C85">
              <w:rPr>
                <w:rFonts w:ascii="Montserrat" w:hAnsi="Montserrat" w:cs="Arial"/>
                <w:b/>
                <w:snapToGrid w:val="0"/>
                <w:color w:val="000000"/>
                <w:sz w:val="20"/>
                <w:szCs w:val="20"/>
              </w:rPr>
              <w:t>70</w:t>
            </w:r>
          </w:p>
        </w:tc>
        <w:tc>
          <w:tcPr>
            <w:tcW w:w="1276" w:type="dxa"/>
            <w:tcBorders>
              <w:top w:val="single" w:sz="4" w:space="0" w:color="auto"/>
              <w:left w:val="single" w:sz="4" w:space="0" w:color="auto"/>
              <w:bottom w:val="single" w:sz="4" w:space="0" w:color="auto"/>
              <w:right w:val="single" w:sz="4" w:space="0" w:color="auto"/>
            </w:tcBorders>
          </w:tcPr>
          <w:p w14:paraId="5A92E668" w14:textId="77777777" w:rsidR="00432444" w:rsidRPr="00B87C85" w:rsidRDefault="00432444" w:rsidP="002144D5">
            <w:pPr>
              <w:widowControl w:val="0"/>
              <w:jc w:val="center"/>
              <w:rPr>
                <w:rFonts w:ascii="Montserrat" w:hAnsi="Montserrat" w:cs="Arial"/>
                <w:snapToGrid w:val="0"/>
                <w:color w:val="000000"/>
                <w:sz w:val="20"/>
                <w:szCs w:val="20"/>
              </w:rPr>
            </w:pPr>
          </w:p>
        </w:tc>
        <w:tc>
          <w:tcPr>
            <w:tcW w:w="4244" w:type="dxa"/>
            <w:tcBorders>
              <w:top w:val="nil"/>
              <w:left w:val="nil"/>
              <w:bottom w:val="nil"/>
              <w:right w:val="nil"/>
            </w:tcBorders>
          </w:tcPr>
          <w:p w14:paraId="509E1872" w14:textId="77777777" w:rsidR="00432444" w:rsidRPr="00B87C85" w:rsidRDefault="00432444" w:rsidP="002144D5">
            <w:pPr>
              <w:widowControl w:val="0"/>
              <w:jc w:val="center"/>
              <w:rPr>
                <w:rFonts w:ascii="Montserrat" w:hAnsi="Montserrat" w:cs="Arial"/>
                <w:snapToGrid w:val="0"/>
                <w:color w:val="000000"/>
                <w:sz w:val="20"/>
                <w:szCs w:val="20"/>
              </w:rPr>
            </w:pPr>
          </w:p>
        </w:tc>
      </w:tr>
    </w:tbl>
    <w:p w14:paraId="0CE5DF21" w14:textId="77777777" w:rsidR="00B87C85" w:rsidRPr="00B87C85" w:rsidRDefault="00B87C85" w:rsidP="004324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ontserrat" w:hAnsi="Montserrat" w:cs="Arial"/>
          <w:snapToGrid w:val="0"/>
          <w:color w:val="000000"/>
          <w:sz w:val="20"/>
          <w:szCs w:val="20"/>
        </w:rPr>
      </w:pPr>
    </w:p>
    <w:p w14:paraId="51382692" w14:textId="19DC6CF8" w:rsidR="00432444" w:rsidRPr="00B87C85" w:rsidRDefault="00432444" w:rsidP="004324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ontserrat" w:hAnsi="Montserrat" w:cs="Arial"/>
          <w:snapToGrid w:val="0"/>
          <w:color w:val="000000"/>
          <w:sz w:val="20"/>
          <w:szCs w:val="20"/>
        </w:rPr>
      </w:pPr>
      <w:r w:rsidRPr="00B87C85">
        <w:rPr>
          <w:rFonts w:ascii="Montserrat" w:hAnsi="Montserrat" w:cs="Arial"/>
          <w:snapToGrid w:val="0"/>
          <w:color w:val="000000"/>
          <w:sz w:val="20"/>
          <w:szCs w:val="20"/>
        </w:rPr>
        <w:t xml:space="preserve">Name of Person Completing Assessment...........................................    </w:t>
      </w:r>
      <w:r w:rsidR="00B87C85" w:rsidRPr="00B87C85">
        <w:rPr>
          <w:rFonts w:ascii="Montserrat" w:hAnsi="Montserrat" w:cs="Arial"/>
          <w:snapToGrid w:val="0"/>
          <w:color w:val="000000"/>
          <w:sz w:val="20"/>
          <w:szCs w:val="20"/>
        </w:rPr>
        <w:t xml:space="preserve">Date </w:t>
      </w:r>
      <w:r w:rsidRPr="00B87C85">
        <w:rPr>
          <w:rFonts w:ascii="Montserrat" w:hAnsi="Montserrat" w:cs="Arial"/>
          <w:snapToGrid w:val="0"/>
          <w:color w:val="000000"/>
          <w:sz w:val="20"/>
          <w:szCs w:val="20"/>
        </w:rPr>
        <w:t>........................................       Telephone No................................</w:t>
      </w:r>
    </w:p>
    <w:sectPr w:rsidR="00432444" w:rsidRPr="00B87C85" w:rsidSect="00B87C85">
      <w:pgSz w:w="16838" w:h="11906" w:orient="landscape"/>
      <w:pgMar w:top="1134"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90DB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E4F84"/>
    <w:multiLevelType w:val="multilevel"/>
    <w:tmpl w:val="81AE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76684"/>
    <w:multiLevelType w:val="hybridMultilevel"/>
    <w:tmpl w:val="2D2E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9742A"/>
    <w:multiLevelType w:val="hybridMultilevel"/>
    <w:tmpl w:val="8A322EA4"/>
    <w:lvl w:ilvl="0" w:tplc="0FA8EF68">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7B7DBE"/>
    <w:multiLevelType w:val="multilevel"/>
    <w:tmpl w:val="5B181FCC"/>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7E51B0"/>
    <w:multiLevelType w:val="hybridMultilevel"/>
    <w:tmpl w:val="33D8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E0091"/>
    <w:multiLevelType w:val="hybridMultilevel"/>
    <w:tmpl w:val="52F01AE4"/>
    <w:lvl w:ilvl="0" w:tplc="60BA398E">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031CC"/>
    <w:multiLevelType w:val="multilevel"/>
    <w:tmpl w:val="00A06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0F2B01"/>
    <w:multiLevelType w:val="multilevel"/>
    <w:tmpl w:val="9A6A7E8E"/>
    <w:lvl w:ilvl="0">
      <w:start w:val="1"/>
      <w:numFmt w:val="decimal"/>
      <w:lvlText w:val="%1."/>
      <w:lvlJc w:val="left"/>
      <w:pPr>
        <w:ind w:left="720" w:hanging="360"/>
      </w:pPr>
      <w:rPr>
        <w:b/>
        <w:bCs/>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C46EB1"/>
    <w:multiLevelType w:val="hybridMultilevel"/>
    <w:tmpl w:val="8BEC6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F2B5F"/>
    <w:multiLevelType w:val="multilevel"/>
    <w:tmpl w:val="43FA249C"/>
    <w:lvl w:ilvl="0">
      <w:start w:val="1"/>
      <w:numFmt w:val="decimal"/>
      <w:lvlText w:val="%1."/>
      <w:lvlJc w:val="left"/>
      <w:pPr>
        <w:ind w:left="720" w:hanging="360"/>
      </w:p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0E4EF9"/>
    <w:multiLevelType w:val="hybridMultilevel"/>
    <w:tmpl w:val="EC4CBC34"/>
    <w:lvl w:ilvl="0" w:tplc="5A0282E0">
      <w:start w:val="1"/>
      <w:numFmt w:val="lowerLetter"/>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2" w15:restartNumberingAfterBreak="0">
    <w:nsid w:val="7EA83C49"/>
    <w:multiLevelType w:val="hybridMultilevel"/>
    <w:tmpl w:val="F3FA6660"/>
    <w:lvl w:ilvl="0" w:tplc="60BA398E">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761869">
    <w:abstractNumId w:val="7"/>
  </w:num>
  <w:num w:numId="2" w16cid:durableId="1803041657">
    <w:abstractNumId w:val="8"/>
  </w:num>
  <w:num w:numId="3" w16cid:durableId="966358147">
    <w:abstractNumId w:val="2"/>
  </w:num>
  <w:num w:numId="4" w16cid:durableId="635531509">
    <w:abstractNumId w:val="5"/>
  </w:num>
  <w:num w:numId="5" w16cid:durableId="998188056">
    <w:abstractNumId w:val="9"/>
  </w:num>
  <w:num w:numId="6" w16cid:durableId="1347251835">
    <w:abstractNumId w:val="6"/>
  </w:num>
  <w:num w:numId="7" w16cid:durableId="459034702">
    <w:abstractNumId w:val="12"/>
  </w:num>
  <w:num w:numId="8" w16cid:durableId="513106064">
    <w:abstractNumId w:val="10"/>
  </w:num>
  <w:num w:numId="9" w16cid:durableId="97143334">
    <w:abstractNumId w:val="11"/>
  </w:num>
  <w:num w:numId="10" w16cid:durableId="919145892">
    <w:abstractNumId w:val="4"/>
  </w:num>
  <w:num w:numId="11" w16cid:durableId="1936475320">
    <w:abstractNumId w:val="3"/>
  </w:num>
  <w:num w:numId="12" w16cid:durableId="319114849">
    <w:abstractNumId w:val="0"/>
  </w:num>
  <w:num w:numId="13" w16cid:durableId="126865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5F"/>
    <w:rsid w:val="001262B0"/>
    <w:rsid w:val="0015544F"/>
    <w:rsid w:val="00281862"/>
    <w:rsid w:val="00432444"/>
    <w:rsid w:val="00443FC3"/>
    <w:rsid w:val="004630DD"/>
    <w:rsid w:val="0049794A"/>
    <w:rsid w:val="005069EB"/>
    <w:rsid w:val="00595B60"/>
    <w:rsid w:val="005B0AB4"/>
    <w:rsid w:val="006607F5"/>
    <w:rsid w:val="006A3075"/>
    <w:rsid w:val="006D55F2"/>
    <w:rsid w:val="00714747"/>
    <w:rsid w:val="0075366B"/>
    <w:rsid w:val="0078225F"/>
    <w:rsid w:val="007A662A"/>
    <w:rsid w:val="007F6E49"/>
    <w:rsid w:val="00862CE8"/>
    <w:rsid w:val="00892A34"/>
    <w:rsid w:val="00894663"/>
    <w:rsid w:val="00904872"/>
    <w:rsid w:val="009B27A4"/>
    <w:rsid w:val="009E0701"/>
    <w:rsid w:val="00A47BFD"/>
    <w:rsid w:val="00B31D4B"/>
    <w:rsid w:val="00B6799B"/>
    <w:rsid w:val="00B87C85"/>
    <w:rsid w:val="00BA0A6B"/>
    <w:rsid w:val="00C12595"/>
    <w:rsid w:val="00C63E06"/>
    <w:rsid w:val="00CC7EB6"/>
    <w:rsid w:val="00CE354A"/>
    <w:rsid w:val="00CF52E8"/>
    <w:rsid w:val="00D2049F"/>
    <w:rsid w:val="00D9054F"/>
    <w:rsid w:val="00E5014F"/>
    <w:rsid w:val="00F0396B"/>
    <w:rsid w:val="00F24C9A"/>
    <w:rsid w:val="00FB0695"/>
    <w:rsid w:val="00FE61D5"/>
    <w:rsid w:val="00FE6510"/>
    <w:rsid w:val="00FE7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CA59"/>
  <w15:chartTrackingRefBased/>
  <w15:docId w15:val="{F85B8C23-C05E-4759-861E-C29B3F1E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25F"/>
    <w:rPr>
      <w:rFonts w:eastAsiaTheme="majorEastAsia" w:cstheme="majorBidi"/>
      <w:color w:val="272727" w:themeColor="text1" w:themeTint="D8"/>
    </w:rPr>
  </w:style>
  <w:style w:type="paragraph" w:styleId="Title">
    <w:name w:val="Title"/>
    <w:basedOn w:val="Normal"/>
    <w:next w:val="Normal"/>
    <w:link w:val="TitleChar"/>
    <w:uiPriority w:val="10"/>
    <w:qFormat/>
    <w:rsid w:val="00782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25F"/>
    <w:pPr>
      <w:spacing w:before="160"/>
      <w:jc w:val="center"/>
    </w:pPr>
    <w:rPr>
      <w:i/>
      <w:iCs/>
      <w:color w:val="404040" w:themeColor="text1" w:themeTint="BF"/>
    </w:rPr>
  </w:style>
  <w:style w:type="character" w:customStyle="1" w:styleId="QuoteChar">
    <w:name w:val="Quote Char"/>
    <w:basedOn w:val="DefaultParagraphFont"/>
    <w:link w:val="Quote"/>
    <w:uiPriority w:val="29"/>
    <w:rsid w:val="0078225F"/>
    <w:rPr>
      <w:i/>
      <w:iCs/>
      <w:color w:val="404040" w:themeColor="text1" w:themeTint="BF"/>
    </w:rPr>
  </w:style>
  <w:style w:type="paragraph" w:styleId="ListParagraph">
    <w:name w:val="List Paragraph"/>
    <w:basedOn w:val="Normal"/>
    <w:uiPriority w:val="34"/>
    <w:qFormat/>
    <w:rsid w:val="0078225F"/>
    <w:pPr>
      <w:ind w:left="720"/>
      <w:contextualSpacing/>
    </w:pPr>
  </w:style>
  <w:style w:type="character" w:styleId="IntenseEmphasis">
    <w:name w:val="Intense Emphasis"/>
    <w:basedOn w:val="DefaultParagraphFont"/>
    <w:uiPriority w:val="21"/>
    <w:qFormat/>
    <w:rsid w:val="0078225F"/>
    <w:rPr>
      <w:i/>
      <w:iCs/>
      <w:color w:val="0F4761" w:themeColor="accent1" w:themeShade="BF"/>
    </w:rPr>
  </w:style>
  <w:style w:type="paragraph" w:styleId="IntenseQuote">
    <w:name w:val="Intense Quote"/>
    <w:basedOn w:val="Normal"/>
    <w:next w:val="Normal"/>
    <w:link w:val="IntenseQuoteChar"/>
    <w:uiPriority w:val="30"/>
    <w:qFormat/>
    <w:rsid w:val="00782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25F"/>
    <w:rPr>
      <w:i/>
      <w:iCs/>
      <w:color w:val="0F4761" w:themeColor="accent1" w:themeShade="BF"/>
    </w:rPr>
  </w:style>
  <w:style w:type="character" w:styleId="IntenseReference">
    <w:name w:val="Intense Reference"/>
    <w:basedOn w:val="DefaultParagraphFont"/>
    <w:uiPriority w:val="32"/>
    <w:qFormat/>
    <w:rsid w:val="0078225F"/>
    <w:rPr>
      <w:b/>
      <w:bCs/>
      <w:smallCaps/>
      <w:color w:val="0F4761" w:themeColor="accent1" w:themeShade="BF"/>
      <w:spacing w:val="5"/>
    </w:rPr>
  </w:style>
  <w:style w:type="character" w:styleId="Hyperlink">
    <w:name w:val="Hyperlink"/>
    <w:basedOn w:val="DefaultParagraphFont"/>
    <w:uiPriority w:val="99"/>
    <w:unhideWhenUsed/>
    <w:rsid w:val="0078225F"/>
    <w:rPr>
      <w:color w:val="467886" w:themeColor="hyperlink"/>
      <w:u w:val="single"/>
    </w:rPr>
  </w:style>
  <w:style w:type="character" w:styleId="UnresolvedMention">
    <w:name w:val="Unresolved Mention"/>
    <w:basedOn w:val="DefaultParagraphFont"/>
    <w:uiPriority w:val="99"/>
    <w:semiHidden/>
    <w:unhideWhenUsed/>
    <w:rsid w:val="0078225F"/>
    <w:rPr>
      <w:color w:val="605E5C"/>
      <w:shd w:val="clear" w:color="auto" w:fill="E1DFDD"/>
    </w:rPr>
  </w:style>
  <w:style w:type="paragraph" w:styleId="BodyText2">
    <w:name w:val="Body Text 2"/>
    <w:basedOn w:val="Normal"/>
    <w:link w:val="BodyText2Char"/>
    <w:rsid w:val="00F24C9A"/>
    <w:pPr>
      <w:spacing w:after="120" w:line="480" w:lineRule="auto"/>
    </w:pPr>
    <w:rPr>
      <w:rFonts w:ascii="Arial" w:eastAsia="Batang" w:hAnsi="Arial" w:cs="Times New Roman"/>
      <w:kern w:val="0"/>
      <w:sz w:val="28"/>
      <w:szCs w:val="24"/>
      <w:lang w:eastAsia="ko-KR"/>
      <w14:ligatures w14:val="none"/>
    </w:rPr>
  </w:style>
  <w:style w:type="character" w:customStyle="1" w:styleId="BodyText2Char">
    <w:name w:val="Body Text 2 Char"/>
    <w:basedOn w:val="DefaultParagraphFont"/>
    <w:link w:val="BodyText2"/>
    <w:rsid w:val="00F24C9A"/>
    <w:rPr>
      <w:rFonts w:ascii="Arial" w:eastAsia="Batang" w:hAnsi="Arial" w:cs="Times New Roman"/>
      <w:kern w:val="0"/>
      <w:sz w:val="28"/>
      <w:szCs w:val="24"/>
      <w:lang w:eastAsia="ko-KR"/>
      <w14:ligatures w14:val="none"/>
    </w:rPr>
  </w:style>
  <w:style w:type="paragraph" w:styleId="ListBullet">
    <w:name w:val="List Bullet"/>
    <w:basedOn w:val="Normal"/>
    <w:uiPriority w:val="99"/>
    <w:unhideWhenUsed/>
    <w:rsid w:val="00443FC3"/>
    <w:pPr>
      <w:numPr>
        <w:numId w:val="12"/>
      </w:numPr>
      <w:tabs>
        <w:tab w:val="clear" w:pos="360"/>
      </w:tabs>
      <w:spacing w:after="200" w:line="276" w:lineRule="auto"/>
      <w:ind w:left="0" w:firstLine="0"/>
      <w:contextualSpacing/>
    </w:pPr>
    <w:rPr>
      <w:rFonts w:ascii="Calibri" w:eastAsiaTheme="minorEastAsia" w:hAnsi="Calibri"/>
      <w:kern w:val="0"/>
      <w:lang w:val="en-US"/>
      <w14:ligatures w14:val="none"/>
    </w:rPr>
  </w:style>
  <w:style w:type="character" w:styleId="CommentReference">
    <w:name w:val="annotation reference"/>
    <w:basedOn w:val="DefaultParagraphFont"/>
    <w:uiPriority w:val="99"/>
    <w:semiHidden/>
    <w:unhideWhenUsed/>
    <w:rsid w:val="00CE354A"/>
    <w:rPr>
      <w:sz w:val="16"/>
      <w:szCs w:val="16"/>
    </w:rPr>
  </w:style>
  <w:style w:type="paragraph" w:styleId="CommentText">
    <w:name w:val="annotation text"/>
    <w:basedOn w:val="Normal"/>
    <w:link w:val="CommentTextChar"/>
    <w:uiPriority w:val="99"/>
    <w:unhideWhenUsed/>
    <w:rsid w:val="00CE354A"/>
    <w:pPr>
      <w:spacing w:line="240" w:lineRule="auto"/>
    </w:pPr>
    <w:rPr>
      <w:sz w:val="20"/>
      <w:szCs w:val="20"/>
    </w:rPr>
  </w:style>
  <w:style w:type="character" w:customStyle="1" w:styleId="CommentTextChar">
    <w:name w:val="Comment Text Char"/>
    <w:basedOn w:val="DefaultParagraphFont"/>
    <w:link w:val="CommentText"/>
    <w:uiPriority w:val="99"/>
    <w:rsid w:val="00CE354A"/>
    <w:rPr>
      <w:sz w:val="20"/>
      <w:szCs w:val="20"/>
    </w:rPr>
  </w:style>
  <w:style w:type="character" w:styleId="FollowedHyperlink">
    <w:name w:val="FollowedHyperlink"/>
    <w:basedOn w:val="DefaultParagraphFont"/>
    <w:uiPriority w:val="99"/>
    <w:semiHidden/>
    <w:unhideWhenUsed/>
    <w:rsid w:val="00862C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isecuritystandards.org/pci_security/maintaining_payment_secur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cisecuritystandards.org/assessors_and_solutions/qualified_security_assessor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inance-ni.gov.uk/sites/default/files/2025-10/Social%20value%20strategy%202025-2027%20-%20published.pdf" TargetMode="External"/><Relationship Id="rId5" Type="http://schemas.openxmlformats.org/officeDocument/2006/relationships/webSettings" Target="webSettings.xml"/><Relationship Id="rId10" Type="http://schemas.openxmlformats.org/officeDocument/2006/relationships/hyperlink" Target="https://www.finance-ni.gov.uk/node/52522" TargetMode="External"/><Relationship Id="rId4" Type="http://schemas.openxmlformats.org/officeDocument/2006/relationships/settings" Target="settings.xml"/><Relationship Id="rId9" Type="http://schemas.openxmlformats.org/officeDocument/2006/relationships/hyperlink" Target="https://www.pcisecuritystandards.org/pci_security/maintaining_payment_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AB59C-9806-461B-AFD1-A288ACD1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1688</Words>
  <Characters>9509</Characters>
  <Application>Microsoft Office Word</Application>
  <DocSecurity>0</DocSecurity>
  <Lines>307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Krshna</dc:creator>
  <cp:keywords/>
  <dc:description/>
  <cp:lastModifiedBy>Dennis, Krshna</cp:lastModifiedBy>
  <cp:revision>2</cp:revision>
  <dcterms:created xsi:type="dcterms:W3CDTF">2026-02-06T11:53:00Z</dcterms:created>
  <dcterms:modified xsi:type="dcterms:W3CDTF">2026-02-06T11:53:00Z</dcterms:modified>
</cp:coreProperties>
</file>