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591B" w14:textId="1A44B20F" w:rsidR="00214412" w:rsidRDefault="00201F23" w:rsidP="008755E8">
      <w:pPr>
        <w:jc w:val="both"/>
      </w:pPr>
      <w:r>
        <w:rPr>
          <w:noProof/>
          <w:lang w:eastAsia="en-GB"/>
        </w:rPr>
        <w:drawing>
          <wp:inline distT="0" distB="0" distL="0" distR="0" wp14:anchorId="74E034C1" wp14:editId="5F5AE47F">
            <wp:extent cx="1788795" cy="1049655"/>
            <wp:effectExtent l="0" t="0" r="1905" b="0"/>
            <wp:docPr id="2" name="Picture 1" descr="Department of Fina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Department of Finance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88795" cy="1049655"/>
                    </a:xfrm>
                    <a:prstGeom prst="rect">
                      <a:avLst/>
                    </a:prstGeom>
                    <a:noFill/>
                  </pic:spPr>
                </pic:pic>
              </a:graphicData>
            </a:graphic>
          </wp:inline>
        </w:drawing>
      </w:r>
    </w:p>
    <w:p w14:paraId="535A52C6" w14:textId="77777777" w:rsidR="00FF548E" w:rsidRDefault="00FF548E" w:rsidP="008755E8">
      <w:pPr>
        <w:jc w:val="both"/>
        <w:rPr>
          <w:b/>
          <w:sz w:val="28"/>
        </w:rPr>
      </w:pPr>
    </w:p>
    <w:p w14:paraId="08A5DF0B" w14:textId="21FAEEAA" w:rsidR="00E50E8E" w:rsidRPr="003A55AB" w:rsidRDefault="00733C8A" w:rsidP="000C7977">
      <w:pPr>
        <w:rPr>
          <w:rFonts w:ascii="Arial" w:hAnsi="Arial" w:cs="Arial"/>
          <w:b/>
          <w:sz w:val="28"/>
        </w:rPr>
      </w:pPr>
      <w:r w:rsidRPr="003A55AB">
        <w:rPr>
          <w:rFonts w:ascii="Arial" w:hAnsi="Arial" w:cs="Arial"/>
          <w:b/>
          <w:sz w:val="28"/>
        </w:rPr>
        <w:t>F</w:t>
      </w:r>
      <w:r w:rsidR="00E50E8E" w:rsidRPr="003A55AB">
        <w:rPr>
          <w:rFonts w:ascii="Arial" w:hAnsi="Arial" w:cs="Arial"/>
          <w:b/>
          <w:sz w:val="28"/>
        </w:rPr>
        <w:t xml:space="preserve">or </w:t>
      </w:r>
      <w:r w:rsidR="008755E8" w:rsidRPr="003A55AB">
        <w:rPr>
          <w:rFonts w:ascii="Arial" w:hAnsi="Arial" w:cs="Arial"/>
          <w:b/>
          <w:sz w:val="28"/>
        </w:rPr>
        <w:t>L</w:t>
      </w:r>
      <w:r w:rsidR="00B61DC8" w:rsidRPr="003A55AB">
        <w:rPr>
          <w:rFonts w:ascii="Arial" w:hAnsi="Arial" w:cs="Arial"/>
          <w:b/>
          <w:sz w:val="28"/>
        </w:rPr>
        <w:t xml:space="preserve">ocal </w:t>
      </w:r>
      <w:r w:rsidR="008755E8" w:rsidRPr="003A55AB">
        <w:rPr>
          <w:rFonts w:ascii="Arial" w:hAnsi="Arial" w:cs="Arial"/>
          <w:b/>
          <w:sz w:val="28"/>
        </w:rPr>
        <w:t>G</w:t>
      </w:r>
      <w:r w:rsidR="00E50E8E" w:rsidRPr="003A55AB">
        <w:rPr>
          <w:rFonts w:ascii="Arial" w:hAnsi="Arial" w:cs="Arial"/>
          <w:b/>
          <w:sz w:val="28"/>
        </w:rPr>
        <w:t xml:space="preserve">overnment </w:t>
      </w:r>
      <w:r w:rsidRPr="003A55AB">
        <w:rPr>
          <w:rFonts w:ascii="Arial" w:hAnsi="Arial" w:cs="Arial"/>
          <w:b/>
          <w:sz w:val="28"/>
        </w:rPr>
        <w:t>bodies consolidated within WGA</w:t>
      </w:r>
    </w:p>
    <w:p w14:paraId="20B5D94A" w14:textId="77777777" w:rsidR="00791120" w:rsidRPr="003A55AB" w:rsidRDefault="00791120" w:rsidP="000C7977">
      <w:pPr>
        <w:rPr>
          <w:rFonts w:ascii="Arial" w:hAnsi="Arial" w:cs="Arial"/>
          <w:sz w:val="23"/>
          <w:szCs w:val="23"/>
        </w:rPr>
      </w:pPr>
    </w:p>
    <w:p w14:paraId="2FA15431" w14:textId="5333E674" w:rsidR="00D77D18" w:rsidRPr="003A55AB" w:rsidRDefault="00E50E8E" w:rsidP="000C7977">
      <w:pPr>
        <w:rPr>
          <w:rFonts w:ascii="Arial" w:hAnsi="Arial" w:cs="Arial"/>
        </w:rPr>
      </w:pPr>
      <w:r w:rsidRPr="003A55AB">
        <w:rPr>
          <w:rFonts w:ascii="Arial" w:hAnsi="Arial" w:cs="Arial"/>
        </w:rPr>
        <w:t>The Management Review Checklist provide</w:t>
      </w:r>
      <w:r w:rsidR="00D77D18" w:rsidRPr="003A55AB">
        <w:rPr>
          <w:rFonts w:ascii="Arial" w:hAnsi="Arial" w:cs="Arial"/>
        </w:rPr>
        <w:t>s</w:t>
      </w:r>
      <w:r w:rsidRPr="003A55AB">
        <w:rPr>
          <w:rFonts w:ascii="Arial" w:hAnsi="Arial" w:cs="Arial"/>
        </w:rPr>
        <w:t xml:space="preserve"> assurance </w:t>
      </w:r>
      <w:r w:rsidR="00451340" w:rsidRPr="003A55AB">
        <w:rPr>
          <w:rFonts w:ascii="Arial" w:hAnsi="Arial" w:cs="Arial"/>
        </w:rPr>
        <w:t xml:space="preserve">to management, </w:t>
      </w:r>
      <w:r w:rsidR="00EE3D0D">
        <w:rPr>
          <w:rFonts w:ascii="Arial" w:hAnsi="Arial" w:cs="Arial"/>
        </w:rPr>
        <w:t xml:space="preserve">and </w:t>
      </w:r>
      <w:r w:rsidR="009B2E9D" w:rsidRPr="003A55AB">
        <w:rPr>
          <w:rFonts w:ascii="Arial" w:hAnsi="Arial" w:cs="Arial"/>
        </w:rPr>
        <w:t>DoF</w:t>
      </w:r>
      <w:r w:rsidR="00EE3D0D">
        <w:rPr>
          <w:rFonts w:ascii="Arial" w:hAnsi="Arial" w:cs="Arial"/>
        </w:rPr>
        <w:t>,</w:t>
      </w:r>
      <w:r w:rsidR="00451340" w:rsidRPr="003A55AB">
        <w:rPr>
          <w:rFonts w:ascii="Arial" w:hAnsi="Arial" w:cs="Arial"/>
        </w:rPr>
        <w:t xml:space="preserve"> that </w:t>
      </w:r>
      <w:r w:rsidR="00D77D18" w:rsidRPr="003A55AB">
        <w:rPr>
          <w:rFonts w:ascii="Arial" w:hAnsi="Arial" w:cs="Arial"/>
        </w:rPr>
        <w:t xml:space="preserve">proper procedures </w:t>
      </w:r>
      <w:r w:rsidR="00451340" w:rsidRPr="003A55AB">
        <w:rPr>
          <w:rFonts w:ascii="Arial" w:hAnsi="Arial" w:cs="Arial"/>
        </w:rPr>
        <w:t xml:space="preserve">are </w:t>
      </w:r>
      <w:r w:rsidR="00D77D18" w:rsidRPr="003A55AB">
        <w:rPr>
          <w:rFonts w:ascii="Arial" w:hAnsi="Arial" w:cs="Arial"/>
        </w:rPr>
        <w:t xml:space="preserve">in place for providing WGA data in line with </w:t>
      </w:r>
      <w:r w:rsidR="00451340" w:rsidRPr="003A55AB">
        <w:rPr>
          <w:rFonts w:ascii="Arial" w:hAnsi="Arial" w:cs="Arial"/>
        </w:rPr>
        <w:t>guidance</w:t>
      </w:r>
      <w:r w:rsidR="00B01190" w:rsidRPr="003A55AB">
        <w:rPr>
          <w:rFonts w:ascii="Arial" w:hAnsi="Arial" w:cs="Arial"/>
        </w:rPr>
        <w:t xml:space="preserve"> issued by </w:t>
      </w:r>
      <w:r w:rsidR="008B53B3" w:rsidRPr="003A55AB">
        <w:rPr>
          <w:rFonts w:ascii="Arial" w:hAnsi="Arial" w:cs="Arial"/>
        </w:rPr>
        <w:t xml:space="preserve">HM </w:t>
      </w:r>
      <w:r w:rsidR="00B01190" w:rsidRPr="003A55AB">
        <w:rPr>
          <w:rFonts w:ascii="Arial" w:hAnsi="Arial" w:cs="Arial"/>
        </w:rPr>
        <w:t>Treasury</w:t>
      </w:r>
      <w:r w:rsidR="0017674D" w:rsidRPr="003A55AB">
        <w:rPr>
          <w:rFonts w:ascii="Arial" w:hAnsi="Arial" w:cs="Arial"/>
        </w:rPr>
        <w:t xml:space="preserve"> and </w:t>
      </w:r>
      <w:r w:rsidR="009B2E9D" w:rsidRPr="003A55AB">
        <w:rPr>
          <w:rFonts w:ascii="Arial" w:hAnsi="Arial" w:cs="Arial"/>
        </w:rPr>
        <w:t>DoF</w:t>
      </w:r>
      <w:r w:rsidR="00D77D18" w:rsidRPr="003A55AB">
        <w:rPr>
          <w:rFonts w:ascii="Arial" w:hAnsi="Arial" w:cs="Arial"/>
        </w:rPr>
        <w:t>.</w:t>
      </w:r>
      <w:r w:rsidR="00EC3CD3" w:rsidRPr="003A55AB">
        <w:rPr>
          <w:rFonts w:ascii="Arial" w:hAnsi="Arial" w:cs="Arial"/>
        </w:rPr>
        <w:t xml:space="preserve"> </w:t>
      </w:r>
      <w:r w:rsidR="00733C8A" w:rsidRPr="003A55AB">
        <w:rPr>
          <w:rFonts w:ascii="Arial" w:hAnsi="Arial" w:cs="Arial"/>
        </w:rPr>
        <w:t>This ch</w:t>
      </w:r>
      <w:r w:rsidR="00324387" w:rsidRPr="003A55AB">
        <w:rPr>
          <w:rFonts w:ascii="Arial" w:hAnsi="Arial" w:cs="Arial"/>
        </w:rPr>
        <w:t>ecklist informs and records the </w:t>
      </w:r>
      <w:r w:rsidR="00733C8A" w:rsidRPr="003A55AB">
        <w:rPr>
          <w:rFonts w:ascii="Arial" w:hAnsi="Arial" w:cs="Arial"/>
        </w:rPr>
        <w:t xml:space="preserve">management processes of preparation, review and validation of </w:t>
      </w:r>
      <w:r w:rsidR="00324387" w:rsidRPr="003A55AB">
        <w:rPr>
          <w:rFonts w:ascii="Arial" w:hAnsi="Arial" w:cs="Arial"/>
        </w:rPr>
        <w:t xml:space="preserve">local government </w:t>
      </w:r>
      <w:r w:rsidR="00733C8A" w:rsidRPr="003A55AB">
        <w:rPr>
          <w:rFonts w:ascii="Arial" w:hAnsi="Arial" w:cs="Arial"/>
        </w:rPr>
        <w:t>WGA submissions</w:t>
      </w:r>
      <w:r w:rsidR="00324387" w:rsidRPr="003A55AB">
        <w:rPr>
          <w:rFonts w:ascii="Arial" w:hAnsi="Arial" w:cs="Arial"/>
        </w:rPr>
        <w:t xml:space="preserve"> (</w:t>
      </w:r>
      <w:r w:rsidR="008755E8" w:rsidRPr="003A55AB">
        <w:rPr>
          <w:rFonts w:ascii="Arial" w:hAnsi="Arial" w:cs="Arial"/>
        </w:rPr>
        <w:t>DCTs</w:t>
      </w:r>
      <w:r w:rsidR="00324387" w:rsidRPr="003A55AB">
        <w:rPr>
          <w:rFonts w:ascii="Arial" w:hAnsi="Arial" w:cs="Arial"/>
        </w:rPr>
        <w:t>)</w:t>
      </w:r>
      <w:r w:rsidR="00733C8A" w:rsidRPr="003A55AB">
        <w:rPr>
          <w:rFonts w:ascii="Arial" w:hAnsi="Arial" w:cs="Arial"/>
        </w:rPr>
        <w:t>.</w:t>
      </w:r>
    </w:p>
    <w:p w14:paraId="5B27B843" w14:textId="77777777" w:rsidR="00D77D18" w:rsidRPr="003A55AB" w:rsidRDefault="00D77D18" w:rsidP="000C7977">
      <w:pPr>
        <w:rPr>
          <w:rFonts w:ascii="Arial" w:hAnsi="Arial" w:cs="Arial"/>
        </w:rPr>
      </w:pPr>
    </w:p>
    <w:p w14:paraId="1DD4C1BA" w14:textId="565965F4" w:rsidR="00EC3CD3" w:rsidRPr="003A55AB" w:rsidRDefault="00EC3CD3" w:rsidP="000C7977">
      <w:pPr>
        <w:rPr>
          <w:rFonts w:ascii="Arial" w:hAnsi="Arial" w:cs="Arial"/>
        </w:rPr>
      </w:pPr>
      <w:r w:rsidRPr="003A55AB">
        <w:rPr>
          <w:rFonts w:ascii="Arial" w:hAnsi="Arial" w:cs="Arial"/>
        </w:rPr>
        <w:t xml:space="preserve">Bodies should check they have read all </w:t>
      </w:r>
      <w:r w:rsidR="00324387" w:rsidRPr="003A55AB">
        <w:rPr>
          <w:rFonts w:ascii="Arial" w:hAnsi="Arial" w:cs="Arial"/>
        </w:rPr>
        <w:t xml:space="preserve">WGA </w:t>
      </w:r>
      <w:r w:rsidRPr="003A55AB">
        <w:rPr>
          <w:rFonts w:ascii="Arial" w:hAnsi="Arial" w:cs="Arial"/>
        </w:rPr>
        <w:t xml:space="preserve">guidance </w:t>
      </w:r>
      <w:r w:rsidR="00D5098C" w:rsidRPr="003A55AB">
        <w:rPr>
          <w:rFonts w:ascii="Arial" w:hAnsi="Arial" w:cs="Arial"/>
        </w:rPr>
        <w:t xml:space="preserve">issued by </w:t>
      </w:r>
      <w:r w:rsidR="008B53B3" w:rsidRPr="003A55AB">
        <w:rPr>
          <w:rFonts w:ascii="Arial" w:hAnsi="Arial" w:cs="Arial"/>
        </w:rPr>
        <w:t xml:space="preserve">HM Treasury or </w:t>
      </w:r>
      <w:r w:rsidR="0017674D" w:rsidRPr="003A55AB">
        <w:rPr>
          <w:rFonts w:ascii="Arial" w:hAnsi="Arial" w:cs="Arial"/>
        </w:rPr>
        <w:t>DoF</w:t>
      </w:r>
      <w:r w:rsidRPr="003A55AB">
        <w:rPr>
          <w:rFonts w:ascii="Arial" w:hAnsi="Arial" w:cs="Arial"/>
        </w:rPr>
        <w:t>.</w:t>
      </w:r>
    </w:p>
    <w:p w14:paraId="0618B8D1" w14:textId="77777777" w:rsidR="00EC3CD3" w:rsidRPr="003A55AB" w:rsidRDefault="00EC3CD3" w:rsidP="000C7977">
      <w:pPr>
        <w:rPr>
          <w:rFonts w:ascii="Arial" w:hAnsi="Arial" w:cs="Arial"/>
        </w:rPr>
      </w:pPr>
    </w:p>
    <w:p w14:paraId="7D76DEE6" w14:textId="77777777" w:rsidR="006C6E2B" w:rsidRPr="003A55AB" w:rsidRDefault="00E50E8E" w:rsidP="000C7977">
      <w:pPr>
        <w:rPr>
          <w:rFonts w:ascii="Arial" w:hAnsi="Arial" w:cs="Arial"/>
          <w:u w:val="single"/>
        </w:rPr>
      </w:pPr>
      <w:r w:rsidRPr="003A55AB">
        <w:rPr>
          <w:rFonts w:ascii="Arial" w:hAnsi="Arial" w:cs="Arial"/>
          <w:u w:val="single"/>
        </w:rPr>
        <w:t>Consolidation Officer</w:t>
      </w:r>
      <w:r w:rsidR="00EC3CD3" w:rsidRPr="003A55AB">
        <w:rPr>
          <w:rFonts w:ascii="Arial" w:hAnsi="Arial" w:cs="Arial"/>
          <w:u w:val="single"/>
        </w:rPr>
        <w:t>:</w:t>
      </w:r>
      <w:r w:rsidR="00D77D18" w:rsidRPr="003A55AB">
        <w:rPr>
          <w:rFonts w:ascii="Arial" w:hAnsi="Arial" w:cs="Arial"/>
          <w:u w:val="single"/>
        </w:rPr>
        <w:t xml:space="preserve"> </w:t>
      </w:r>
    </w:p>
    <w:p w14:paraId="54520781" w14:textId="03359AA9" w:rsidR="007844D2" w:rsidRPr="003A55AB" w:rsidRDefault="007844D2" w:rsidP="000C7977">
      <w:pPr>
        <w:numPr>
          <w:ilvl w:val="0"/>
          <w:numId w:val="2"/>
        </w:numPr>
        <w:tabs>
          <w:tab w:val="left" w:pos="284"/>
        </w:tabs>
        <w:ind w:left="284" w:hanging="284"/>
        <w:rPr>
          <w:rFonts w:ascii="Arial" w:hAnsi="Arial" w:cs="Arial"/>
        </w:rPr>
      </w:pPr>
      <w:r w:rsidRPr="003A55AB">
        <w:rPr>
          <w:rFonts w:ascii="Arial" w:hAnsi="Arial" w:cs="Arial"/>
        </w:rPr>
        <w:t>is ultimately responsible for what is in the a</w:t>
      </w:r>
      <w:r w:rsidR="00324387" w:rsidRPr="003A55AB">
        <w:rPr>
          <w:rFonts w:ascii="Arial" w:hAnsi="Arial" w:cs="Arial"/>
        </w:rPr>
        <w:t xml:space="preserve">ccounts and </w:t>
      </w:r>
      <w:r w:rsidR="00AC6ECD" w:rsidRPr="003A55AB">
        <w:rPr>
          <w:rFonts w:ascii="Arial" w:hAnsi="Arial" w:cs="Arial"/>
        </w:rPr>
        <w:t xml:space="preserve">the data on </w:t>
      </w:r>
      <w:r w:rsidR="003C7A02">
        <w:rPr>
          <w:rFonts w:ascii="Arial" w:hAnsi="Arial" w:cs="Arial"/>
        </w:rPr>
        <w:t>OSCAR</w:t>
      </w:r>
      <w:r w:rsidR="00324387" w:rsidRPr="003A55AB">
        <w:rPr>
          <w:rFonts w:ascii="Arial" w:hAnsi="Arial" w:cs="Arial"/>
        </w:rPr>
        <w:t xml:space="preserve"> and may </w:t>
      </w:r>
      <w:r w:rsidRPr="003A55AB">
        <w:rPr>
          <w:rFonts w:ascii="Arial" w:hAnsi="Arial" w:cs="Arial"/>
        </w:rPr>
        <w:t>be called to account.</w:t>
      </w:r>
    </w:p>
    <w:p w14:paraId="69F6B3B5" w14:textId="658A1FC3" w:rsidR="007844D2" w:rsidRPr="003A55AB" w:rsidRDefault="007844D2" w:rsidP="000C7977">
      <w:pPr>
        <w:numPr>
          <w:ilvl w:val="0"/>
          <w:numId w:val="2"/>
        </w:numPr>
        <w:tabs>
          <w:tab w:val="left" w:pos="284"/>
        </w:tabs>
        <w:ind w:left="284" w:hanging="284"/>
        <w:rPr>
          <w:rFonts w:ascii="Arial" w:hAnsi="Arial" w:cs="Arial"/>
        </w:rPr>
      </w:pPr>
      <w:r w:rsidRPr="003A55AB">
        <w:rPr>
          <w:rFonts w:ascii="Arial" w:hAnsi="Arial" w:cs="Arial"/>
        </w:rPr>
        <w:t>will normally be the Chief Financial Office</w:t>
      </w:r>
      <w:r w:rsidR="00324387" w:rsidRPr="003A55AB">
        <w:rPr>
          <w:rFonts w:ascii="Arial" w:hAnsi="Arial" w:cs="Arial"/>
        </w:rPr>
        <w:t>r</w:t>
      </w:r>
      <w:r w:rsidRPr="003A55AB">
        <w:rPr>
          <w:rFonts w:ascii="Arial" w:hAnsi="Arial" w:cs="Arial"/>
        </w:rPr>
        <w:t>.</w:t>
      </w:r>
    </w:p>
    <w:p w14:paraId="38590A69" w14:textId="77777777" w:rsidR="006C6E2B" w:rsidRPr="003A55AB" w:rsidRDefault="00E50E8E" w:rsidP="000C7977">
      <w:pPr>
        <w:numPr>
          <w:ilvl w:val="0"/>
          <w:numId w:val="2"/>
        </w:numPr>
        <w:tabs>
          <w:tab w:val="left" w:pos="284"/>
        </w:tabs>
        <w:ind w:left="284" w:hanging="284"/>
        <w:rPr>
          <w:rFonts w:ascii="Arial" w:hAnsi="Arial" w:cs="Arial"/>
        </w:rPr>
      </w:pPr>
      <w:r w:rsidRPr="003A55AB">
        <w:rPr>
          <w:rFonts w:ascii="Arial" w:hAnsi="Arial" w:cs="Arial"/>
        </w:rPr>
        <w:t xml:space="preserve">should </w:t>
      </w:r>
      <w:r w:rsidR="006C6E2B" w:rsidRPr="003A55AB">
        <w:rPr>
          <w:rFonts w:ascii="Arial" w:hAnsi="Arial" w:cs="Arial"/>
        </w:rPr>
        <w:t>sign</w:t>
      </w:r>
      <w:r w:rsidR="00EC3CD3" w:rsidRPr="003A55AB">
        <w:rPr>
          <w:rFonts w:ascii="Arial" w:hAnsi="Arial" w:cs="Arial"/>
        </w:rPr>
        <w:t xml:space="preserve"> th</w:t>
      </w:r>
      <w:r w:rsidR="007844D2" w:rsidRPr="003A55AB">
        <w:rPr>
          <w:rFonts w:ascii="Arial" w:hAnsi="Arial" w:cs="Arial"/>
        </w:rPr>
        <w:t>e cover page of this</w:t>
      </w:r>
      <w:r w:rsidR="00EC3CD3" w:rsidRPr="003A55AB">
        <w:rPr>
          <w:rFonts w:ascii="Arial" w:hAnsi="Arial" w:cs="Arial"/>
        </w:rPr>
        <w:t xml:space="preserve"> checklist once </w:t>
      </w:r>
      <w:r w:rsidR="007844D2" w:rsidRPr="003A55AB">
        <w:rPr>
          <w:rFonts w:ascii="Arial" w:hAnsi="Arial" w:cs="Arial"/>
        </w:rPr>
        <w:t xml:space="preserve">their </w:t>
      </w:r>
      <w:r w:rsidRPr="003A55AB">
        <w:rPr>
          <w:rFonts w:ascii="Arial" w:hAnsi="Arial" w:cs="Arial"/>
        </w:rPr>
        <w:t xml:space="preserve">review </w:t>
      </w:r>
      <w:r w:rsidR="007844D2" w:rsidRPr="003A55AB">
        <w:rPr>
          <w:rFonts w:ascii="Arial" w:hAnsi="Arial" w:cs="Arial"/>
        </w:rPr>
        <w:t>is</w:t>
      </w:r>
      <w:r w:rsidRPr="003A55AB">
        <w:rPr>
          <w:rFonts w:ascii="Arial" w:hAnsi="Arial" w:cs="Arial"/>
        </w:rPr>
        <w:t xml:space="preserve"> complete</w:t>
      </w:r>
      <w:r w:rsidR="00EC3CD3" w:rsidRPr="003A55AB">
        <w:rPr>
          <w:rFonts w:ascii="Arial" w:hAnsi="Arial" w:cs="Arial"/>
        </w:rPr>
        <w:t>.</w:t>
      </w:r>
    </w:p>
    <w:p w14:paraId="56FF9945" w14:textId="77777777" w:rsidR="00C9665E" w:rsidRPr="003A55AB" w:rsidRDefault="00C9665E" w:rsidP="000C7977">
      <w:pPr>
        <w:rPr>
          <w:rFonts w:ascii="Arial" w:hAnsi="Arial" w:cs="Arial"/>
          <w:u w:val="single"/>
        </w:rPr>
      </w:pPr>
    </w:p>
    <w:p w14:paraId="20966BE6" w14:textId="77777777" w:rsidR="00634345" w:rsidRPr="003A55AB" w:rsidRDefault="00634345" w:rsidP="000C7977">
      <w:pPr>
        <w:rPr>
          <w:rFonts w:ascii="Arial" w:hAnsi="Arial" w:cs="Arial"/>
        </w:rPr>
      </w:pPr>
      <w:r w:rsidRPr="003A55AB">
        <w:rPr>
          <w:rFonts w:ascii="Arial" w:hAnsi="Arial" w:cs="Arial"/>
          <w:u w:val="single"/>
        </w:rPr>
        <w:t>Consolidation Manager</w:t>
      </w:r>
      <w:r w:rsidRPr="003A55AB">
        <w:rPr>
          <w:rFonts w:ascii="Arial" w:hAnsi="Arial" w:cs="Arial"/>
        </w:rPr>
        <w:t>:</w:t>
      </w:r>
    </w:p>
    <w:p w14:paraId="45B60922" w14:textId="77777777" w:rsidR="007844D2" w:rsidRPr="003A55AB" w:rsidRDefault="007844D2" w:rsidP="000C7977">
      <w:pPr>
        <w:numPr>
          <w:ilvl w:val="0"/>
          <w:numId w:val="2"/>
        </w:numPr>
        <w:tabs>
          <w:tab w:val="left" w:pos="284"/>
        </w:tabs>
        <w:ind w:left="284" w:hanging="284"/>
        <w:rPr>
          <w:rFonts w:ascii="Arial" w:hAnsi="Arial" w:cs="Arial"/>
        </w:rPr>
      </w:pPr>
      <w:r w:rsidRPr="003A55AB">
        <w:rPr>
          <w:rFonts w:ascii="Arial" w:hAnsi="Arial" w:cs="Arial"/>
        </w:rPr>
        <w:t xml:space="preserve">is the officer appointed by the Consolidation Officer to prepare the </w:t>
      </w:r>
      <w:r w:rsidR="008755E8" w:rsidRPr="003A55AB">
        <w:rPr>
          <w:rFonts w:ascii="Arial" w:hAnsi="Arial" w:cs="Arial"/>
        </w:rPr>
        <w:t>DCT</w:t>
      </w:r>
      <w:r w:rsidRPr="003A55AB">
        <w:rPr>
          <w:rFonts w:ascii="Arial" w:hAnsi="Arial" w:cs="Arial"/>
        </w:rPr>
        <w:t>.</w:t>
      </w:r>
    </w:p>
    <w:p w14:paraId="73892821" w14:textId="5EB8E34D" w:rsidR="007844D2" w:rsidRPr="003A55AB" w:rsidRDefault="007844D2" w:rsidP="000C7977">
      <w:pPr>
        <w:numPr>
          <w:ilvl w:val="0"/>
          <w:numId w:val="2"/>
        </w:numPr>
        <w:tabs>
          <w:tab w:val="left" w:pos="284"/>
        </w:tabs>
        <w:ind w:left="284" w:hanging="284"/>
        <w:rPr>
          <w:rFonts w:ascii="Arial" w:hAnsi="Arial" w:cs="Arial"/>
        </w:rPr>
      </w:pPr>
      <w:r w:rsidRPr="003A55AB">
        <w:rPr>
          <w:rFonts w:ascii="Arial" w:hAnsi="Arial" w:cs="Arial"/>
        </w:rPr>
        <w:t>will normally be the Director of Finance</w:t>
      </w:r>
      <w:r w:rsidR="00FF548E" w:rsidRPr="003A55AB">
        <w:rPr>
          <w:rFonts w:ascii="Arial" w:hAnsi="Arial" w:cs="Arial"/>
        </w:rPr>
        <w:t xml:space="preserve"> or Chief Accountant</w:t>
      </w:r>
      <w:r w:rsidRPr="003A55AB">
        <w:rPr>
          <w:rFonts w:ascii="Arial" w:hAnsi="Arial" w:cs="Arial"/>
        </w:rPr>
        <w:t>.</w:t>
      </w:r>
    </w:p>
    <w:p w14:paraId="6FD55E77" w14:textId="77777777" w:rsidR="00634345" w:rsidRPr="003A55AB" w:rsidRDefault="00634345" w:rsidP="000C7977">
      <w:pPr>
        <w:numPr>
          <w:ilvl w:val="0"/>
          <w:numId w:val="2"/>
        </w:numPr>
        <w:tabs>
          <w:tab w:val="left" w:pos="284"/>
        </w:tabs>
        <w:ind w:left="284" w:hanging="284"/>
        <w:rPr>
          <w:rFonts w:ascii="Arial" w:hAnsi="Arial" w:cs="Arial"/>
        </w:rPr>
      </w:pPr>
      <w:r w:rsidRPr="003A55AB">
        <w:rPr>
          <w:rFonts w:ascii="Arial" w:hAnsi="Arial" w:cs="Arial"/>
        </w:rPr>
        <w:t xml:space="preserve">should initial and date each item of the checklist once content that the item has been </w:t>
      </w:r>
      <w:r w:rsidR="00FF548E" w:rsidRPr="003A55AB">
        <w:rPr>
          <w:rFonts w:ascii="Arial" w:hAnsi="Arial" w:cs="Arial"/>
        </w:rPr>
        <w:t>completed</w:t>
      </w:r>
      <w:r w:rsidRPr="003A55AB">
        <w:rPr>
          <w:rFonts w:ascii="Arial" w:hAnsi="Arial" w:cs="Arial"/>
        </w:rPr>
        <w:t>.</w:t>
      </w:r>
    </w:p>
    <w:p w14:paraId="6795EB65" w14:textId="77777777" w:rsidR="0011450B" w:rsidRPr="003A55AB" w:rsidRDefault="0011450B" w:rsidP="008755E8">
      <w:pPr>
        <w:jc w:val="both"/>
        <w:rPr>
          <w:rFonts w:ascii="Arial" w:hAnsi="Arial" w:cs="Arial"/>
        </w:rPr>
      </w:pPr>
    </w:p>
    <w:p w14:paraId="3023DDB0" w14:textId="77777777" w:rsidR="000B6A69" w:rsidRDefault="000B6A69" w:rsidP="008755E8">
      <w:pPr>
        <w:jc w:val="both"/>
        <w:rPr>
          <w:rFonts w:ascii="Arial" w:hAnsi="Arial" w:cs="Arial"/>
        </w:rPr>
      </w:pPr>
    </w:p>
    <w:p w14:paraId="6C65308E" w14:textId="77777777" w:rsidR="000B6A69" w:rsidRDefault="000B6A69" w:rsidP="008755E8">
      <w:pPr>
        <w:jc w:val="both"/>
        <w:rPr>
          <w:rFonts w:ascii="Arial" w:hAnsi="Arial" w:cs="Arial"/>
        </w:rPr>
      </w:pPr>
    </w:p>
    <w:p w14:paraId="0AAAE60B" w14:textId="4C49A43D" w:rsidR="00403546" w:rsidRDefault="00403546" w:rsidP="00403546">
      <w:pPr>
        <w:jc w:val="both"/>
        <w:rPr>
          <w:rFonts w:ascii="Arial" w:hAnsi="Arial" w:cs="Arial"/>
        </w:rPr>
      </w:pPr>
      <w:r w:rsidRPr="00702248">
        <w:rPr>
          <w:rFonts w:ascii="Arial" w:hAnsi="Arial" w:cs="Arial"/>
          <w:b/>
          <w:bCs/>
          <w:u w:val="single"/>
        </w:rPr>
        <w:t>Note</w:t>
      </w:r>
      <w:r w:rsidRPr="00702248">
        <w:rPr>
          <w:rFonts w:ascii="Arial" w:hAnsi="Arial" w:cs="Arial"/>
          <w:b/>
          <w:bCs/>
        </w:rPr>
        <w:t xml:space="preserve">: You only need to submit </w:t>
      </w:r>
      <w:r>
        <w:rPr>
          <w:rFonts w:ascii="Arial" w:hAnsi="Arial" w:cs="Arial"/>
          <w:b/>
          <w:bCs/>
        </w:rPr>
        <w:t>this Management Review Checklist (MRC)</w:t>
      </w:r>
      <w:r w:rsidRPr="00702248">
        <w:rPr>
          <w:rFonts w:ascii="Arial" w:hAnsi="Arial" w:cs="Arial"/>
          <w:b/>
          <w:bCs/>
        </w:rPr>
        <w:t xml:space="preserve"> with your final DCT submission. </w:t>
      </w:r>
      <w:r w:rsidRPr="00403546">
        <w:rPr>
          <w:rFonts w:ascii="Arial" w:hAnsi="Arial" w:cs="Arial"/>
          <w:b/>
          <w:bCs/>
        </w:rPr>
        <w:t xml:space="preserve">For </w:t>
      </w:r>
      <w:proofErr w:type="gramStart"/>
      <w:r w:rsidRPr="00403546">
        <w:rPr>
          <w:rFonts w:ascii="Arial" w:hAnsi="Arial" w:cs="Arial"/>
          <w:b/>
          <w:bCs/>
        </w:rPr>
        <w:t>the vast majority of</w:t>
      </w:r>
      <w:proofErr w:type="gramEnd"/>
      <w:r w:rsidRPr="00403546">
        <w:rPr>
          <w:rFonts w:ascii="Arial" w:hAnsi="Arial" w:cs="Arial"/>
          <w:b/>
          <w:bCs/>
        </w:rPr>
        <w:t xml:space="preserve"> bodies, this should be at Cycle 2 stage, </w:t>
      </w:r>
      <w:r>
        <w:rPr>
          <w:rFonts w:ascii="Arial" w:hAnsi="Arial" w:cs="Arial"/>
          <w:b/>
          <w:bCs/>
        </w:rPr>
        <w:t xml:space="preserve">with the Cycle 2 submission </w:t>
      </w:r>
      <w:r w:rsidRPr="00403546">
        <w:rPr>
          <w:rFonts w:ascii="Arial" w:hAnsi="Arial" w:cs="Arial"/>
          <w:b/>
          <w:bCs/>
        </w:rPr>
        <w:t>based on certified statutory accounts.</w:t>
      </w:r>
      <w:r>
        <w:rPr>
          <w:rFonts w:ascii="Arial" w:hAnsi="Arial" w:cs="Arial"/>
          <w:b/>
          <w:bCs/>
        </w:rPr>
        <w:t xml:space="preserve"> </w:t>
      </w:r>
      <w:r w:rsidRPr="00702248">
        <w:rPr>
          <w:rFonts w:ascii="Arial" w:hAnsi="Arial" w:cs="Arial"/>
        </w:rPr>
        <w:t>If you are expecting to submit a C</w:t>
      </w:r>
      <w:r>
        <w:rPr>
          <w:rFonts w:ascii="Arial" w:hAnsi="Arial" w:cs="Arial"/>
        </w:rPr>
        <w:t xml:space="preserve">ycle </w:t>
      </w:r>
      <w:r w:rsidRPr="00702248">
        <w:rPr>
          <w:rFonts w:ascii="Arial" w:hAnsi="Arial" w:cs="Arial"/>
        </w:rPr>
        <w:t xml:space="preserve">2 return, there is no requirement to submit </w:t>
      </w:r>
      <w:r w:rsidR="008254C5">
        <w:rPr>
          <w:rFonts w:ascii="Arial" w:hAnsi="Arial" w:cs="Arial"/>
        </w:rPr>
        <w:t>an</w:t>
      </w:r>
      <w:r>
        <w:rPr>
          <w:rFonts w:ascii="Arial" w:hAnsi="Arial" w:cs="Arial"/>
        </w:rPr>
        <w:t xml:space="preserve"> MRC</w:t>
      </w:r>
      <w:r w:rsidRPr="00702248">
        <w:rPr>
          <w:rFonts w:ascii="Arial" w:hAnsi="Arial" w:cs="Arial"/>
        </w:rPr>
        <w:t xml:space="preserve"> with your C</w:t>
      </w:r>
      <w:r>
        <w:rPr>
          <w:rFonts w:ascii="Arial" w:hAnsi="Arial" w:cs="Arial"/>
        </w:rPr>
        <w:t xml:space="preserve">ycle </w:t>
      </w:r>
      <w:r w:rsidRPr="00702248">
        <w:rPr>
          <w:rFonts w:ascii="Arial" w:hAnsi="Arial" w:cs="Arial"/>
        </w:rPr>
        <w:t>1 return as well (although you can choose to if you are not sure if a C</w:t>
      </w:r>
      <w:r>
        <w:rPr>
          <w:rFonts w:ascii="Arial" w:hAnsi="Arial" w:cs="Arial"/>
        </w:rPr>
        <w:t xml:space="preserve">ycle </w:t>
      </w:r>
      <w:r w:rsidRPr="00702248">
        <w:rPr>
          <w:rFonts w:ascii="Arial" w:hAnsi="Arial" w:cs="Arial"/>
        </w:rPr>
        <w:t xml:space="preserve">2 return will be submitted). Subsequently, if you opt not to submit </w:t>
      </w:r>
      <w:r w:rsidR="008254C5" w:rsidRPr="008254C5">
        <w:rPr>
          <w:rFonts w:ascii="Arial" w:hAnsi="Arial" w:cs="Arial"/>
        </w:rPr>
        <w:t>an</w:t>
      </w:r>
      <w:r w:rsidRPr="00702248">
        <w:rPr>
          <w:rFonts w:ascii="Arial" w:hAnsi="Arial" w:cs="Arial"/>
        </w:rPr>
        <w:t xml:space="preserve"> </w:t>
      </w:r>
      <w:r>
        <w:rPr>
          <w:rFonts w:ascii="Arial" w:hAnsi="Arial" w:cs="Arial"/>
        </w:rPr>
        <w:t>MRC</w:t>
      </w:r>
      <w:r w:rsidRPr="00702248">
        <w:rPr>
          <w:rFonts w:ascii="Arial" w:hAnsi="Arial" w:cs="Arial"/>
        </w:rPr>
        <w:t xml:space="preserve"> with your C</w:t>
      </w:r>
      <w:r>
        <w:rPr>
          <w:rFonts w:ascii="Arial" w:hAnsi="Arial" w:cs="Arial"/>
        </w:rPr>
        <w:t xml:space="preserve">ycle </w:t>
      </w:r>
      <w:r w:rsidRPr="00702248">
        <w:rPr>
          <w:rFonts w:ascii="Arial" w:hAnsi="Arial" w:cs="Arial"/>
        </w:rPr>
        <w:t>1 submission as you had expected to submit a later C</w:t>
      </w:r>
      <w:r>
        <w:rPr>
          <w:rFonts w:ascii="Arial" w:hAnsi="Arial" w:cs="Arial"/>
        </w:rPr>
        <w:t xml:space="preserve">ycle </w:t>
      </w:r>
      <w:r w:rsidRPr="00702248">
        <w:rPr>
          <w:rFonts w:ascii="Arial" w:hAnsi="Arial" w:cs="Arial"/>
        </w:rPr>
        <w:t xml:space="preserve">2, but are not able to, you will need to retrospectively send a completed </w:t>
      </w:r>
      <w:r>
        <w:rPr>
          <w:rFonts w:ascii="Arial" w:hAnsi="Arial" w:cs="Arial"/>
        </w:rPr>
        <w:t>MRC</w:t>
      </w:r>
      <w:r w:rsidRPr="00702248">
        <w:rPr>
          <w:rFonts w:ascii="Arial" w:hAnsi="Arial" w:cs="Arial"/>
        </w:rPr>
        <w:t>, based on your existing C</w:t>
      </w:r>
      <w:r>
        <w:rPr>
          <w:rFonts w:ascii="Arial" w:hAnsi="Arial" w:cs="Arial"/>
        </w:rPr>
        <w:t xml:space="preserve">ycle </w:t>
      </w:r>
      <w:r w:rsidRPr="00702248">
        <w:rPr>
          <w:rFonts w:ascii="Arial" w:hAnsi="Arial" w:cs="Arial"/>
        </w:rPr>
        <w:t>1 submission, by the C</w:t>
      </w:r>
      <w:r>
        <w:rPr>
          <w:rFonts w:ascii="Arial" w:hAnsi="Arial" w:cs="Arial"/>
        </w:rPr>
        <w:t xml:space="preserve">ycle </w:t>
      </w:r>
      <w:r w:rsidRPr="00702248">
        <w:rPr>
          <w:rFonts w:ascii="Arial" w:hAnsi="Arial" w:cs="Arial"/>
        </w:rPr>
        <w:t>2 submission deadline.</w:t>
      </w:r>
    </w:p>
    <w:p w14:paraId="12F9E13B" w14:textId="77777777" w:rsidR="00403546" w:rsidRPr="00702248" w:rsidRDefault="00403546" w:rsidP="00403546">
      <w:pPr>
        <w:jc w:val="both"/>
        <w:rPr>
          <w:rFonts w:ascii="Arial" w:hAnsi="Arial" w:cs="Arial"/>
        </w:rPr>
      </w:pPr>
    </w:p>
    <w:p w14:paraId="5947F46F" w14:textId="00B5C11C" w:rsidR="00403546" w:rsidRPr="00702248" w:rsidRDefault="00403546" w:rsidP="00403546">
      <w:pPr>
        <w:jc w:val="both"/>
        <w:rPr>
          <w:rFonts w:ascii="Arial" w:hAnsi="Arial" w:cs="Arial"/>
        </w:rPr>
      </w:pPr>
      <w:r w:rsidRPr="00702248">
        <w:rPr>
          <w:rFonts w:ascii="Arial" w:hAnsi="Arial" w:cs="Arial"/>
        </w:rPr>
        <w:t xml:space="preserve">Cycle 1 returns may be based on draft accounts (as submitted for audit) but if Cycle 2 returns are to be </w:t>
      </w:r>
      <w:r w:rsidR="008254C5">
        <w:rPr>
          <w:rFonts w:ascii="Arial" w:hAnsi="Arial" w:cs="Arial"/>
        </w:rPr>
        <w:t xml:space="preserve">submitted </w:t>
      </w:r>
      <w:r w:rsidRPr="00702248">
        <w:rPr>
          <w:rFonts w:ascii="Arial" w:hAnsi="Arial" w:cs="Arial"/>
        </w:rPr>
        <w:t>based on audited accounts, they must not be submitted until on or after the date of audit certification.</w:t>
      </w:r>
    </w:p>
    <w:p w14:paraId="6D0243AA" w14:textId="77777777" w:rsidR="00896610" w:rsidRPr="009B301C" w:rsidRDefault="00896610" w:rsidP="000C7977">
      <w:pPr>
        <w:rPr>
          <w:sz w:val="23"/>
          <w:szCs w:val="23"/>
        </w:rPr>
      </w:pPr>
    </w:p>
    <w:p w14:paraId="585F2D01" w14:textId="6B6C8741" w:rsidR="0088054A" w:rsidRDefault="00B20380">
      <w:pPr>
        <w:rPr>
          <w:rFonts w:ascii="Arial" w:hAnsi="Arial" w:cs="Arial"/>
        </w:rPr>
      </w:pPr>
      <w:r w:rsidRPr="003A55AB">
        <w:rPr>
          <w:rFonts w:ascii="Arial" w:hAnsi="Arial" w:cs="Arial"/>
        </w:rPr>
        <w:t xml:space="preserve">The </w:t>
      </w:r>
      <w:r w:rsidR="00BD69B6" w:rsidRPr="003A55AB">
        <w:rPr>
          <w:rFonts w:ascii="Arial" w:hAnsi="Arial" w:cs="Arial"/>
        </w:rPr>
        <w:t xml:space="preserve">completed </w:t>
      </w:r>
      <w:r w:rsidRPr="003A55AB">
        <w:rPr>
          <w:rFonts w:ascii="Arial" w:hAnsi="Arial" w:cs="Arial"/>
        </w:rPr>
        <w:t xml:space="preserve">checklist must be submitted </w:t>
      </w:r>
      <w:r w:rsidR="00683FBF">
        <w:rPr>
          <w:rFonts w:ascii="Arial" w:hAnsi="Arial" w:cs="Arial"/>
        </w:rPr>
        <w:t xml:space="preserve">with the final, locked version of the DCT </w:t>
      </w:r>
      <w:r w:rsidR="00BD69B6" w:rsidRPr="003A55AB">
        <w:rPr>
          <w:rFonts w:ascii="Arial" w:hAnsi="Arial" w:cs="Arial"/>
        </w:rPr>
        <w:t xml:space="preserve">to </w:t>
      </w:r>
      <w:r w:rsidR="00D41136" w:rsidRPr="003A55AB">
        <w:rPr>
          <w:rFonts w:ascii="Arial" w:hAnsi="Arial" w:cs="Arial"/>
        </w:rPr>
        <w:t>DoF</w:t>
      </w:r>
      <w:r w:rsidR="003C7A02">
        <w:rPr>
          <w:rFonts w:ascii="Arial" w:hAnsi="Arial" w:cs="Arial"/>
        </w:rPr>
        <w:t xml:space="preserve"> at </w:t>
      </w:r>
      <w:hyperlink r:id="rId14" w:history="1">
        <w:r w:rsidR="003C7A02" w:rsidRPr="0086029A">
          <w:rPr>
            <w:rStyle w:val="Hyperlink"/>
            <w:rFonts w:ascii="Arial" w:hAnsi="Arial" w:cs="Arial"/>
          </w:rPr>
          <w:t>wga.afmd@finance-ni.gov.uk</w:t>
        </w:r>
      </w:hyperlink>
      <w:r w:rsidR="003C7A02">
        <w:rPr>
          <w:rFonts w:ascii="Arial" w:hAnsi="Arial" w:cs="Arial"/>
        </w:rPr>
        <w:t xml:space="preserve"> and DfC at </w:t>
      </w:r>
      <w:hyperlink r:id="rId15" w:history="1">
        <w:r w:rsidR="003C7A02" w:rsidRPr="00AA6487">
          <w:rPr>
            <w:rStyle w:val="Hyperlink"/>
            <w:rFonts w:ascii="Arial" w:hAnsi="Arial" w:cs="Arial"/>
          </w:rPr>
          <w:t>LGFinanceBranch@communities-ni.gov.uk</w:t>
        </w:r>
      </w:hyperlink>
      <w:r w:rsidR="003C7A02">
        <w:rPr>
          <w:rFonts w:ascii="Arial" w:hAnsi="Arial" w:cs="Arial"/>
        </w:rPr>
        <w:t xml:space="preserve"> </w:t>
      </w:r>
    </w:p>
    <w:p w14:paraId="610AD594" w14:textId="77777777" w:rsidR="0088054A" w:rsidRDefault="0088054A">
      <w:pPr>
        <w:rPr>
          <w:rFonts w:ascii="Arial" w:hAnsi="Arial" w:cs="Arial"/>
        </w:rPr>
      </w:pPr>
    </w:p>
    <w:p w14:paraId="6DEC18B3" w14:textId="45685FAD" w:rsidR="00896610" w:rsidRDefault="0088054A" w:rsidP="000C7977">
      <w:pPr>
        <w:rPr>
          <w:rFonts w:ascii="Arial" w:hAnsi="Arial" w:cs="Arial"/>
          <w:i/>
          <w:iCs/>
        </w:rPr>
      </w:pPr>
      <w:r w:rsidRPr="000C7977">
        <w:rPr>
          <w:rFonts w:ascii="Arial" w:hAnsi="Arial" w:cs="Arial"/>
          <w:i/>
          <w:iCs/>
        </w:rPr>
        <w:t xml:space="preserve">Please ensure </w:t>
      </w:r>
      <w:r w:rsidRPr="000C7977">
        <w:rPr>
          <w:rFonts w:ascii="Arial" w:hAnsi="Arial" w:cs="Arial"/>
          <w:b/>
          <w:bCs/>
          <w:i/>
          <w:iCs/>
        </w:rPr>
        <w:t>all sections</w:t>
      </w:r>
      <w:r w:rsidRPr="000C7977">
        <w:rPr>
          <w:rFonts w:ascii="Arial" w:hAnsi="Arial" w:cs="Arial"/>
          <w:i/>
          <w:iCs/>
        </w:rPr>
        <w:t xml:space="preserve"> are </w:t>
      </w:r>
      <w:r w:rsidR="00683FBF">
        <w:rPr>
          <w:rFonts w:ascii="Arial" w:hAnsi="Arial" w:cs="Arial"/>
          <w:i/>
          <w:iCs/>
        </w:rPr>
        <w:t xml:space="preserve">fully </w:t>
      </w:r>
      <w:r w:rsidRPr="000C7977">
        <w:rPr>
          <w:rFonts w:ascii="Arial" w:hAnsi="Arial" w:cs="Arial"/>
          <w:i/>
          <w:iCs/>
        </w:rPr>
        <w:t xml:space="preserve">completed; </w:t>
      </w:r>
      <w:r w:rsidR="00683FBF">
        <w:rPr>
          <w:rFonts w:ascii="Arial" w:hAnsi="Arial" w:cs="Arial"/>
          <w:i/>
          <w:iCs/>
        </w:rPr>
        <w:t>incomplete</w:t>
      </w:r>
      <w:r w:rsidRPr="000C7977">
        <w:rPr>
          <w:rFonts w:ascii="Arial" w:hAnsi="Arial" w:cs="Arial"/>
          <w:i/>
          <w:iCs/>
        </w:rPr>
        <w:t xml:space="preserve"> form</w:t>
      </w:r>
      <w:r w:rsidR="00683FBF">
        <w:rPr>
          <w:rFonts w:ascii="Arial" w:hAnsi="Arial" w:cs="Arial"/>
          <w:i/>
          <w:iCs/>
        </w:rPr>
        <w:t>s</w:t>
      </w:r>
      <w:r w:rsidRPr="000C7977">
        <w:rPr>
          <w:rFonts w:ascii="Arial" w:hAnsi="Arial" w:cs="Arial"/>
          <w:i/>
          <w:iCs/>
        </w:rPr>
        <w:t xml:space="preserve"> may not be accepted.</w:t>
      </w:r>
    </w:p>
    <w:p w14:paraId="30C35258" w14:textId="0B7F2CCD" w:rsidR="00C41415" w:rsidRDefault="00C41415">
      <w:pPr>
        <w:rPr>
          <w:rFonts w:ascii="Arial" w:hAnsi="Arial" w:cs="Arial"/>
          <w:i/>
          <w:iCs/>
        </w:rPr>
      </w:pPr>
      <w:r>
        <w:rPr>
          <w:rFonts w:ascii="Arial" w:hAnsi="Arial" w:cs="Arial"/>
          <w:i/>
          <w:iCs/>
        </w:rPr>
        <w:br w:type="page"/>
      </w:r>
    </w:p>
    <w:p w14:paraId="28E67D88" w14:textId="77777777" w:rsidR="00C41415" w:rsidRPr="000C7977" w:rsidRDefault="00C41415" w:rsidP="000C7977">
      <w:pPr>
        <w:rPr>
          <w:rFonts w:ascii="Arial" w:hAnsi="Arial" w:cs="Arial"/>
          <w:i/>
          <w:iCs/>
        </w:rPr>
      </w:pPr>
    </w:p>
    <w:p w14:paraId="60F32844" w14:textId="77777777" w:rsidR="000B6A69" w:rsidRPr="003A55AB" w:rsidRDefault="000B6A69" w:rsidP="00C9665E">
      <w:pPr>
        <w:jc w:val="both"/>
        <w:rPr>
          <w:rFonts w:ascii="Arial" w:hAnsi="Arial" w:cs="Arial"/>
        </w:rPr>
      </w:pPr>
    </w:p>
    <w:p w14:paraId="6B840F0C" w14:textId="3E287C7A" w:rsidR="00E331C8" w:rsidRPr="00702248" w:rsidRDefault="002430D5" w:rsidP="00702248">
      <w:pPr>
        <w:pBdr>
          <w:top w:val="single" w:sz="4" w:space="1" w:color="auto"/>
          <w:left w:val="single" w:sz="4" w:space="4" w:color="auto"/>
          <w:bottom w:val="single" w:sz="4" w:space="1" w:color="auto"/>
          <w:right w:val="single" w:sz="4" w:space="31" w:color="auto"/>
        </w:pBdr>
        <w:tabs>
          <w:tab w:val="left" w:pos="1843"/>
        </w:tabs>
        <w:spacing w:line="276" w:lineRule="auto"/>
        <w:jc w:val="both"/>
        <w:rPr>
          <w:rFonts w:ascii="Arial" w:hAnsi="Arial" w:cs="Arial"/>
        </w:rPr>
      </w:pPr>
      <w:r w:rsidRPr="00702248">
        <w:rPr>
          <w:rFonts w:ascii="Arial" w:hAnsi="Arial" w:cs="Arial"/>
          <w:b/>
        </w:rPr>
        <w:t>Name of body</w:t>
      </w:r>
      <w:r w:rsidRPr="00702248">
        <w:rPr>
          <w:rFonts w:ascii="Arial" w:hAnsi="Arial" w:cs="Arial"/>
        </w:rPr>
        <w:t>:</w:t>
      </w:r>
      <w:r w:rsidRPr="00702248">
        <w:rPr>
          <w:rFonts w:ascii="Arial" w:hAnsi="Arial" w:cs="Arial"/>
        </w:rPr>
        <w:tab/>
      </w:r>
      <w:r w:rsidR="00C41415" w:rsidRPr="00C41415">
        <w:rPr>
          <w:rFonts w:ascii="Arial" w:hAnsi="Arial" w:cs="Arial"/>
        </w:rPr>
        <w:t>_____________________</w:t>
      </w:r>
      <w:r w:rsidR="002C5D12" w:rsidRPr="00702248">
        <w:rPr>
          <w:rFonts w:ascii="Arial" w:hAnsi="Arial" w:cs="Arial"/>
        </w:rPr>
        <w:tab/>
      </w:r>
      <w:r w:rsidR="002C5D12" w:rsidRPr="00702248">
        <w:rPr>
          <w:rFonts w:ascii="Arial" w:hAnsi="Arial" w:cs="Arial"/>
        </w:rPr>
        <w:tab/>
      </w:r>
      <w:r w:rsidR="00E331C8" w:rsidRPr="00702248">
        <w:rPr>
          <w:rFonts w:ascii="Arial" w:hAnsi="Arial" w:cs="Arial"/>
        </w:rPr>
        <w:t xml:space="preserve">              </w:t>
      </w:r>
    </w:p>
    <w:p w14:paraId="4442311A" w14:textId="1076C2C1" w:rsidR="002430D5" w:rsidRDefault="002430D5" w:rsidP="00702248">
      <w:pPr>
        <w:pBdr>
          <w:top w:val="single" w:sz="4" w:space="1" w:color="auto"/>
          <w:left w:val="single" w:sz="4" w:space="4" w:color="auto"/>
          <w:bottom w:val="single" w:sz="4" w:space="1" w:color="auto"/>
          <w:right w:val="single" w:sz="4" w:space="31" w:color="auto"/>
        </w:pBdr>
        <w:tabs>
          <w:tab w:val="left" w:pos="1843"/>
        </w:tabs>
        <w:spacing w:line="276" w:lineRule="auto"/>
        <w:jc w:val="both"/>
        <w:rPr>
          <w:rFonts w:ascii="Arial" w:hAnsi="Arial" w:cs="Arial"/>
        </w:rPr>
      </w:pPr>
      <w:r w:rsidRPr="00702248">
        <w:rPr>
          <w:rFonts w:ascii="Arial" w:hAnsi="Arial" w:cs="Arial"/>
          <w:b/>
        </w:rPr>
        <w:t>Body CPID</w:t>
      </w:r>
      <w:r w:rsidR="006A1104" w:rsidRPr="00702248">
        <w:rPr>
          <w:rFonts w:ascii="Arial" w:hAnsi="Arial" w:cs="Arial"/>
        </w:rPr>
        <w:t>:</w:t>
      </w:r>
      <w:r w:rsidR="00C41415">
        <w:rPr>
          <w:rFonts w:ascii="Arial" w:hAnsi="Arial" w:cs="Arial"/>
        </w:rPr>
        <w:t xml:space="preserve"> </w:t>
      </w:r>
      <w:r w:rsidR="00C41415" w:rsidRPr="00C41415">
        <w:rPr>
          <w:rFonts w:ascii="Arial" w:hAnsi="Arial" w:cs="Arial"/>
        </w:rPr>
        <w:t>____________</w:t>
      </w:r>
    </w:p>
    <w:p w14:paraId="7DC8EC11" w14:textId="02A6CDDB" w:rsidR="00C41415" w:rsidRPr="00702248" w:rsidRDefault="00C41415" w:rsidP="00702248">
      <w:pPr>
        <w:pBdr>
          <w:top w:val="single" w:sz="4" w:space="1" w:color="auto"/>
          <w:left w:val="single" w:sz="4" w:space="4" w:color="auto"/>
          <w:bottom w:val="single" w:sz="4" w:space="1" w:color="auto"/>
          <w:right w:val="single" w:sz="4" w:space="31" w:color="auto"/>
        </w:pBdr>
        <w:tabs>
          <w:tab w:val="left" w:pos="1843"/>
        </w:tabs>
        <w:spacing w:line="276" w:lineRule="auto"/>
        <w:jc w:val="both"/>
        <w:rPr>
          <w:rFonts w:ascii="Arial" w:hAnsi="Arial" w:cs="Arial"/>
          <w:b/>
          <w:bCs/>
        </w:rPr>
      </w:pPr>
      <w:r w:rsidRPr="00702248">
        <w:rPr>
          <w:rFonts w:ascii="Arial" w:hAnsi="Arial" w:cs="Arial"/>
          <w:b/>
          <w:bCs/>
        </w:rPr>
        <w:t>C</w:t>
      </w:r>
      <w:r>
        <w:rPr>
          <w:rFonts w:ascii="Arial" w:hAnsi="Arial" w:cs="Arial"/>
          <w:b/>
          <w:bCs/>
        </w:rPr>
        <w:t xml:space="preserve">ycle </w:t>
      </w:r>
      <w:r w:rsidRPr="00702248">
        <w:rPr>
          <w:rFonts w:ascii="Arial" w:hAnsi="Arial" w:cs="Arial"/>
          <w:b/>
          <w:bCs/>
        </w:rPr>
        <w:t>1 or C</w:t>
      </w:r>
      <w:r>
        <w:rPr>
          <w:rFonts w:ascii="Arial" w:hAnsi="Arial" w:cs="Arial"/>
          <w:b/>
          <w:bCs/>
        </w:rPr>
        <w:t xml:space="preserve">ycle </w:t>
      </w:r>
      <w:r w:rsidRPr="00702248">
        <w:rPr>
          <w:rFonts w:ascii="Arial" w:hAnsi="Arial" w:cs="Arial"/>
          <w:b/>
          <w:bCs/>
        </w:rPr>
        <w:t>2 return?</w:t>
      </w:r>
      <w:r>
        <w:rPr>
          <w:rFonts w:ascii="Arial" w:hAnsi="Arial" w:cs="Arial"/>
          <w:b/>
          <w:bCs/>
        </w:rPr>
        <w:t xml:space="preserve"> </w:t>
      </w:r>
      <w:r w:rsidRPr="00C41415">
        <w:rPr>
          <w:rFonts w:ascii="Arial" w:hAnsi="Arial" w:cs="Arial"/>
        </w:rPr>
        <w:t>______________</w:t>
      </w:r>
      <w:r w:rsidRPr="009B1490">
        <w:rPr>
          <w:rFonts w:ascii="Arial" w:hAnsi="Arial" w:cs="Arial"/>
        </w:rPr>
        <w:tab/>
      </w:r>
    </w:p>
    <w:p w14:paraId="1E5FBB9B" w14:textId="2069092B" w:rsidR="00C41415" w:rsidRPr="00702248" w:rsidRDefault="00C41415" w:rsidP="00702248">
      <w:pPr>
        <w:pBdr>
          <w:top w:val="single" w:sz="4" w:space="1" w:color="auto"/>
          <w:left w:val="single" w:sz="4" w:space="4" w:color="auto"/>
          <w:bottom w:val="single" w:sz="4" w:space="1" w:color="auto"/>
          <w:right w:val="single" w:sz="4" w:space="31" w:color="auto"/>
        </w:pBdr>
        <w:tabs>
          <w:tab w:val="left" w:pos="1843"/>
        </w:tabs>
        <w:spacing w:line="276" w:lineRule="auto"/>
        <w:jc w:val="both"/>
        <w:rPr>
          <w:rFonts w:ascii="Arial" w:hAnsi="Arial" w:cs="Arial"/>
          <w:b/>
          <w:bCs/>
        </w:rPr>
      </w:pPr>
      <w:r w:rsidRPr="00702248">
        <w:rPr>
          <w:rFonts w:ascii="Arial" w:hAnsi="Arial" w:cs="Arial"/>
          <w:b/>
          <w:bCs/>
        </w:rPr>
        <w:t>Return based on draft or audited statutory accounts?</w:t>
      </w:r>
      <w:r w:rsidRPr="00C41415">
        <w:rPr>
          <w:rFonts w:ascii="Arial" w:hAnsi="Arial" w:cs="Arial"/>
        </w:rPr>
        <w:t xml:space="preserve"> ___________</w:t>
      </w:r>
    </w:p>
    <w:p w14:paraId="767B26F8" w14:textId="42E082A8" w:rsidR="00C41415" w:rsidRPr="00702248" w:rsidRDefault="00C41415" w:rsidP="00702248">
      <w:pPr>
        <w:pBdr>
          <w:top w:val="single" w:sz="4" w:space="1" w:color="auto"/>
          <w:left w:val="single" w:sz="4" w:space="4" w:color="auto"/>
          <w:bottom w:val="single" w:sz="4" w:space="1" w:color="auto"/>
          <w:right w:val="single" w:sz="4" w:space="31" w:color="auto"/>
        </w:pBdr>
        <w:tabs>
          <w:tab w:val="left" w:pos="1843"/>
        </w:tabs>
        <w:spacing w:line="276" w:lineRule="auto"/>
        <w:jc w:val="both"/>
        <w:rPr>
          <w:rFonts w:ascii="Arial" w:hAnsi="Arial" w:cs="Arial"/>
          <w:b/>
          <w:bCs/>
        </w:rPr>
      </w:pPr>
      <w:r w:rsidRPr="00702248">
        <w:rPr>
          <w:rFonts w:ascii="Arial" w:hAnsi="Arial" w:cs="Arial"/>
          <w:b/>
          <w:bCs/>
        </w:rPr>
        <w:t>If accounts audited, date of audit certification</w:t>
      </w:r>
      <w:r>
        <w:rPr>
          <w:rFonts w:ascii="Arial" w:hAnsi="Arial" w:cs="Arial"/>
          <w:b/>
          <w:bCs/>
        </w:rPr>
        <w:t xml:space="preserve"> </w:t>
      </w:r>
      <w:r w:rsidRPr="00C41415">
        <w:rPr>
          <w:rFonts w:ascii="Arial" w:hAnsi="Arial" w:cs="Arial"/>
        </w:rPr>
        <w:t>___________</w:t>
      </w:r>
    </w:p>
    <w:p w14:paraId="6976D5DB" w14:textId="77777777" w:rsidR="000B6A69" w:rsidRPr="003A55AB" w:rsidRDefault="000B6A69" w:rsidP="00702248">
      <w:pPr>
        <w:pBdr>
          <w:top w:val="single" w:sz="4" w:space="1" w:color="auto"/>
          <w:left w:val="single" w:sz="4" w:space="4" w:color="auto"/>
          <w:bottom w:val="single" w:sz="4" w:space="1" w:color="auto"/>
          <w:right w:val="single" w:sz="4" w:space="31" w:color="auto"/>
        </w:pBdr>
        <w:tabs>
          <w:tab w:val="left" w:pos="1843"/>
        </w:tabs>
        <w:jc w:val="both"/>
        <w:rPr>
          <w:rFonts w:ascii="Arial" w:hAnsi="Arial" w:cs="Arial"/>
          <w:sz w:val="28"/>
          <w:szCs w:val="28"/>
        </w:rPr>
      </w:pPr>
    </w:p>
    <w:p w14:paraId="7025AFC7" w14:textId="5B7957A8" w:rsidR="008432AE" w:rsidRPr="003A55AB" w:rsidRDefault="008432AE" w:rsidP="00702248">
      <w:pPr>
        <w:pBdr>
          <w:top w:val="single" w:sz="4" w:space="1" w:color="auto"/>
          <w:left w:val="single" w:sz="4" w:space="4" w:color="auto"/>
          <w:bottom w:val="single" w:sz="4" w:space="1" w:color="auto"/>
          <w:right w:val="single" w:sz="4" w:space="31" w:color="auto"/>
        </w:pBdr>
        <w:tabs>
          <w:tab w:val="left" w:pos="1843"/>
        </w:tabs>
        <w:rPr>
          <w:rFonts w:ascii="Arial" w:hAnsi="Arial" w:cs="Arial"/>
        </w:rPr>
      </w:pPr>
      <w:r w:rsidRPr="003A55AB">
        <w:rPr>
          <w:rFonts w:ascii="Arial" w:hAnsi="Arial" w:cs="Arial"/>
        </w:rPr>
        <w:t>I</w:t>
      </w:r>
      <w:r w:rsidR="00683FBF">
        <w:rPr>
          <w:rFonts w:ascii="Arial" w:hAnsi="Arial" w:cs="Arial"/>
        </w:rPr>
        <w:t xml:space="preserve"> confirm that I</w:t>
      </w:r>
      <w:r w:rsidRPr="003A55AB">
        <w:rPr>
          <w:rFonts w:ascii="Arial" w:hAnsi="Arial" w:cs="Arial"/>
        </w:rPr>
        <w:t xml:space="preserve"> have </w:t>
      </w:r>
      <w:r w:rsidR="00683FBF">
        <w:rPr>
          <w:rFonts w:ascii="Arial" w:hAnsi="Arial" w:cs="Arial"/>
        </w:rPr>
        <w:t xml:space="preserve">thoroughly </w:t>
      </w:r>
      <w:r w:rsidRPr="003A55AB">
        <w:rPr>
          <w:rFonts w:ascii="Arial" w:hAnsi="Arial" w:cs="Arial"/>
        </w:rPr>
        <w:t xml:space="preserve">reviewed the </w:t>
      </w:r>
      <w:r w:rsidR="00C41415">
        <w:rPr>
          <w:rFonts w:ascii="Arial" w:hAnsi="Arial" w:cs="Arial"/>
        </w:rPr>
        <w:t xml:space="preserve">information above and </w:t>
      </w:r>
      <w:r w:rsidRPr="003A55AB">
        <w:rPr>
          <w:rFonts w:ascii="Arial" w:hAnsi="Arial" w:cs="Arial"/>
        </w:rPr>
        <w:t>checklist below</w:t>
      </w:r>
      <w:r w:rsidR="00683FBF">
        <w:rPr>
          <w:rFonts w:ascii="Arial" w:hAnsi="Arial" w:cs="Arial"/>
        </w:rPr>
        <w:t>,</w:t>
      </w:r>
      <w:r w:rsidRPr="003A55AB">
        <w:rPr>
          <w:rFonts w:ascii="Arial" w:hAnsi="Arial" w:cs="Arial"/>
        </w:rPr>
        <w:t xml:space="preserve"> and I am satisfied t</w:t>
      </w:r>
      <w:r w:rsidR="00324387" w:rsidRPr="003A55AB">
        <w:rPr>
          <w:rFonts w:ascii="Arial" w:hAnsi="Arial" w:cs="Arial"/>
        </w:rPr>
        <w:t>hat it</w:t>
      </w:r>
      <w:r w:rsidR="00E331C8" w:rsidRPr="003A55AB">
        <w:rPr>
          <w:rFonts w:ascii="Arial" w:hAnsi="Arial" w:cs="Arial"/>
        </w:rPr>
        <w:t xml:space="preserve"> </w:t>
      </w:r>
      <w:r w:rsidR="00324387" w:rsidRPr="003A55AB">
        <w:rPr>
          <w:rFonts w:ascii="Arial" w:hAnsi="Arial" w:cs="Arial"/>
        </w:rPr>
        <w:t>has</w:t>
      </w:r>
      <w:r w:rsidR="00E331C8" w:rsidRPr="003A55AB">
        <w:rPr>
          <w:rFonts w:ascii="Arial" w:hAnsi="Arial" w:cs="Arial"/>
        </w:rPr>
        <w:t xml:space="preserve"> </w:t>
      </w:r>
      <w:r w:rsidR="00324387" w:rsidRPr="003A55AB">
        <w:rPr>
          <w:rFonts w:ascii="Arial" w:hAnsi="Arial" w:cs="Arial"/>
        </w:rPr>
        <w:t>been</w:t>
      </w:r>
      <w:r w:rsidR="00E331C8" w:rsidRPr="003A55AB">
        <w:rPr>
          <w:rFonts w:ascii="Arial" w:hAnsi="Arial" w:cs="Arial"/>
        </w:rPr>
        <w:t xml:space="preserve"> </w:t>
      </w:r>
      <w:r w:rsidR="00683FBF">
        <w:rPr>
          <w:rFonts w:ascii="Arial" w:hAnsi="Arial" w:cs="Arial"/>
        </w:rPr>
        <w:t>accurately</w:t>
      </w:r>
      <w:r w:rsidR="00683FBF" w:rsidRPr="003A55AB">
        <w:rPr>
          <w:rFonts w:ascii="Arial" w:hAnsi="Arial" w:cs="Arial"/>
        </w:rPr>
        <w:t xml:space="preserve"> </w:t>
      </w:r>
      <w:r w:rsidRPr="003A55AB">
        <w:rPr>
          <w:rFonts w:ascii="Arial" w:hAnsi="Arial" w:cs="Arial"/>
        </w:rPr>
        <w:t xml:space="preserve">completed </w:t>
      </w:r>
      <w:r w:rsidR="00683FBF">
        <w:rPr>
          <w:rFonts w:ascii="Arial" w:hAnsi="Arial" w:cs="Arial"/>
        </w:rPr>
        <w:t>with</w:t>
      </w:r>
      <w:r w:rsidRPr="003A55AB">
        <w:rPr>
          <w:rFonts w:ascii="Arial" w:hAnsi="Arial" w:cs="Arial"/>
        </w:rPr>
        <w:t xml:space="preserve"> app</w:t>
      </w:r>
      <w:r w:rsidR="00E331C8" w:rsidRPr="003A55AB">
        <w:rPr>
          <w:rFonts w:ascii="Arial" w:hAnsi="Arial" w:cs="Arial"/>
        </w:rPr>
        <w:t>ropriate</w:t>
      </w:r>
      <w:r w:rsidR="0088054A">
        <w:rPr>
          <w:rFonts w:ascii="Arial" w:hAnsi="Arial" w:cs="Arial"/>
        </w:rPr>
        <w:t xml:space="preserve"> e</w:t>
      </w:r>
      <w:r w:rsidR="00324387" w:rsidRPr="003A55AB">
        <w:rPr>
          <w:rFonts w:ascii="Arial" w:hAnsi="Arial" w:cs="Arial"/>
        </w:rPr>
        <w:t>vidence</w:t>
      </w:r>
      <w:r w:rsidR="0088054A">
        <w:rPr>
          <w:rFonts w:ascii="Arial" w:hAnsi="Arial" w:cs="Arial"/>
        </w:rPr>
        <w:t xml:space="preserve"> </w:t>
      </w:r>
      <w:r w:rsidR="00683FBF">
        <w:rPr>
          <w:rFonts w:ascii="Arial" w:hAnsi="Arial" w:cs="Arial"/>
        </w:rPr>
        <w:t xml:space="preserve">provided </w:t>
      </w:r>
      <w:r w:rsidR="00324387" w:rsidRPr="003A55AB">
        <w:rPr>
          <w:rFonts w:ascii="Arial" w:hAnsi="Arial" w:cs="Arial"/>
        </w:rPr>
        <w:t>f</w:t>
      </w:r>
      <w:r w:rsidR="00683FBF">
        <w:rPr>
          <w:rFonts w:ascii="Arial" w:hAnsi="Arial" w:cs="Arial"/>
        </w:rPr>
        <w:t>or</w:t>
      </w:r>
      <w:r w:rsidR="0088054A">
        <w:rPr>
          <w:rFonts w:ascii="Arial" w:hAnsi="Arial" w:cs="Arial"/>
        </w:rPr>
        <w:t xml:space="preserve"> </w:t>
      </w:r>
      <w:r w:rsidR="0088054A" w:rsidRPr="003A55AB">
        <w:rPr>
          <w:rFonts w:ascii="Arial" w:hAnsi="Arial" w:cs="Arial"/>
        </w:rPr>
        <w:t>the</w:t>
      </w:r>
      <w:r w:rsidR="0088054A">
        <w:rPr>
          <w:rFonts w:ascii="Arial" w:hAnsi="Arial" w:cs="Arial"/>
        </w:rPr>
        <w:t xml:space="preserve"> </w:t>
      </w:r>
      <w:r w:rsidR="0088054A" w:rsidRPr="003A55AB">
        <w:rPr>
          <w:rFonts w:ascii="Arial" w:hAnsi="Arial" w:cs="Arial"/>
        </w:rPr>
        <w:t>checks</w:t>
      </w:r>
      <w:r w:rsidR="0088054A">
        <w:rPr>
          <w:rFonts w:ascii="Arial" w:hAnsi="Arial" w:cs="Arial"/>
        </w:rPr>
        <w:t xml:space="preserve"> </w:t>
      </w:r>
      <w:r w:rsidR="00683FBF">
        <w:rPr>
          <w:rFonts w:ascii="Arial" w:hAnsi="Arial" w:cs="Arial"/>
        </w:rPr>
        <w:t>performed</w:t>
      </w:r>
      <w:r w:rsidRPr="003A55AB">
        <w:rPr>
          <w:rFonts w:ascii="Arial" w:hAnsi="Arial" w:cs="Arial"/>
        </w:rPr>
        <w:t>.</w:t>
      </w:r>
    </w:p>
    <w:p w14:paraId="70D5560F" w14:textId="77777777" w:rsidR="008432AE" w:rsidRPr="00F434FE" w:rsidRDefault="008432AE" w:rsidP="00702248">
      <w:pPr>
        <w:pBdr>
          <w:top w:val="single" w:sz="4" w:space="1" w:color="auto"/>
          <w:left w:val="single" w:sz="4" w:space="4" w:color="auto"/>
          <w:bottom w:val="single" w:sz="4" w:space="1" w:color="auto"/>
          <w:right w:val="single" w:sz="4" w:space="31" w:color="auto"/>
        </w:pBdr>
        <w:tabs>
          <w:tab w:val="left" w:pos="1843"/>
        </w:tabs>
        <w:jc w:val="both"/>
        <w:rPr>
          <w:sz w:val="16"/>
        </w:rPr>
      </w:pPr>
    </w:p>
    <w:p w14:paraId="12061295" w14:textId="75CB1418" w:rsidR="000B6A69" w:rsidRPr="003A55AB" w:rsidRDefault="00E12699" w:rsidP="00702248">
      <w:pPr>
        <w:pBdr>
          <w:top w:val="single" w:sz="4" w:space="1" w:color="auto"/>
          <w:left w:val="single" w:sz="4" w:space="4" w:color="auto"/>
          <w:bottom w:val="single" w:sz="4" w:space="1" w:color="auto"/>
          <w:right w:val="single" w:sz="4" w:space="31" w:color="auto"/>
        </w:pBdr>
        <w:tabs>
          <w:tab w:val="left" w:pos="1843"/>
        </w:tabs>
        <w:rPr>
          <w:rFonts w:ascii="Arial" w:hAnsi="Arial" w:cs="Arial"/>
        </w:rPr>
      </w:pPr>
      <w:r w:rsidRPr="003A55AB">
        <w:rPr>
          <w:rFonts w:ascii="Arial" w:hAnsi="Arial" w:cs="Arial"/>
          <w:b/>
        </w:rPr>
        <w:t xml:space="preserve">Consolidation Manager </w:t>
      </w:r>
      <w:r w:rsidR="00C41415" w:rsidRPr="00702248">
        <w:rPr>
          <w:rFonts w:ascii="Arial" w:hAnsi="Arial" w:cs="Arial"/>
          <w:bCs/>
        </w:rPr>
        <w:t>(preparer)</w:t>
      </w:r>
      <w:r w:rsidR="00C9665E" w:rsidRPr="00702248">
        <w:rPr>
          <w:rFonts w:ascii="Arial" w:hAnsi="Arial" w:cs="Arial"/>
          <w:bCs/>
        </w:rPr>
        <w:tab/>
      </w:r>
      <w:r w:rsidR="00C9665E" w:rsidRPr="003A55AB">
        <w:rPr>
          <w:rFonts w:ascii="Arial" w:hAnsi="Arial" w:cs="Arial"/>
          <w:b/>
        </w:rPr>
        <w:tab/>
      </w:r>
      <w:r w:rsidR="00C9665E" w:rsidRPr="003A55AB">
        <w:rPr>
          <w:rFonts w:ascii="Arial" w:hAnsi="Arial" w:cs="Arial"/>
          <w:b/>
        </w:rPr>
        <w:tab/>
      </w:r>
      <w:r w:rsidR="00C9665E" w:rsidRPr="003A55AB">
        <w:rPr>
          <w:rFonts w:ascii="Arial" w:hAnsi="Arial" w:cs="Arial"/>
        </w:rPr>
        <w:t xml:space="preserve"> </w:t>
      </w:r>
    </w:p>
    <w:p w14:paraId="24312F13" w14:textId="278A1DA3" w:rsidR="006A1104" w:rsidRPr="003A55AB" w:rsidRDefault="00E12699" w:rsidP="00702248">
      <w:pPr>
        <w:pBdr>
          <w:top w:val="single" w:sz="4" w:space="1" w:color="auto"/>
          <w:left w:val="single" w:sz="4" w:space="4" w:color="auto"/>
          <w:bottom w:val="single" w:sz="4" w:space="1" w:color="auto"/>
          <w:right w:val="single" w:sz="4" w:space="31" w:color="auto"/>
        </w:pBdr>
        <w:tabs>
          <w:tab w:val="left" w:pos="1843"/>
        </w:tabs>
        <w:spacing w:line="360" w:lineRule="auto"/>
        <w:rPr>
          <w:rFonts w:ascii="Arial" w:hAnsi="Arial" w:cs="Arial"/>
        </w:rPr>
      </w:pPr>
      <w:r w:rsidRPr="003A55AB">
        <w:rPr>
          <w:rFonts w:ascii="Arial" w:hAnsi="Arial" w:cs="Arial"/>
        </w:rPr>
        <w:t>Name:</w:t>
      </w:r>
      <w:r w:rsidR="00C9665E" w:rsidRPr="003A55AB">
        <w:rPr>
          <w:rFonts w:ascii="Arial" w:hAnsi="Arial" w:cs="Arial"/>
        </w:rPr>
        <w:tab/>
      </w:r>
      <w:r w:rsidR="00C9665E" w:rsidRPr="003A55AB">
        <w:rPr>
          <w:rFonts w:ascii="Arial" w:hAnsi="Arial" w:cs="Arial"/>
        </w:rPr>
        <w:tab/>
      </w:r>
      <w:r w:rsidR="00C9665E" w:rsidRPr="003A55AB">
        <w:rPr>
          <w:rFonts w:ascii="Arial" w:hAnsi="Arial" w:cs="Arial"/>
        </w:rPr>
        <w:tab/>
      </w:r>
      <w:r w:rsidR="00C9665E" w:rsidRPr="003A55AB">
        <w:rPr>
          <w:rFonts w:ascii="Arial" w:hAnsi="Arial" w:cs="Arial"/>
        </w:rPr>
        <w:tab/>
      </w:r>
      <w:r w:rsidR="00C9665E" w:rsidRPr="003A55AB">
        <w:rPr>
          <w:rFonts w:ascii="Arial" w:hAnsi="Arial" w:cs="Arial"/>
        </w:rPr>
        <w:tab/>
      </w:r>
    </w:p>
    <w:p w14:paraId="0DE7B077" w14:textId="789FC9FB" w:rsidR="006A1104" w:rsidRPr="003A55AB" w:rsidRDefault="00E12699" w:rsidP="00702248">
      <w:pPr>
        <w:pBdr>
          <w:top w:val="single" w:sz="4" w:space="1" w:color="auto"/>
          <w:left w:val="single" w:sz="4" w:space="4" w:color="auto"/>
          <w:bottom w:val="single" w:sz="4" w:space="1" w:color="auto"/>
          <w:right w:val="single" w:sz="4" w:space="31" w:color="auto"/>
        </w:pBdr>
        <w:tabs>
          <w:tab w:val="left" w:pos="1843"/>
        </w:tabs>
        <w:spacing w:line="360" w:lineRule="auto"/>
        <w:jc w:val="both"/>
        <w:rPr>
          <w:rFonts w:ascii="Arial" w:hAnsi="Arial" w:cs="Arial"/>
        </w:rPr>
      </w:pPr>
      <w:r w:rsidRPr="003A55AB">
        <w:rPr>
          <w:rFonts w:ascii="Arial" w:hAnsi="Arial" w:cs="Arial"/>
        </w:rPr>
        <w:t>Date:</w:t>
      </w:r>
      <w:r w:rsidR="006A1104" w:rsidRPr="003A55AB">
        <w:rPr>
          <w:rFonts w:ascii="Arial" w:hAnsi="Arial" w:cs="Arial"/>
        </w:rPr>
        <w:tab/>
      </w:r>
      <w:r w:rsidR="00C9665E" w:rsidRPr="003A55AB">
        <w:rPr>
          <w:rFonts w:ascii="Arial" w:hAnsi="Arial" w:cs="Arial"/>
        </w:rPr>
        <w:tab/>
      </w:r>
      <w:r w:rsidR="00C9665E" w:rsidRPr="003A55AB">
        <w:rPr>
          <w:rFonts w:ascii="Arial" w:hAnsi="Arial" w:cs="Arial"/>
        </w:rPr>
        <w:tab/>
      </w:r>
      <w:r w:rsidR="00C9665E" w:rsidRPr="003A55AB">
        <w:rPr>
          <w:rFonts w:ascii="Arial" w:hAnsi="Arial" w:cs="Arial"/>
        </w:rPr>
        <w:tab/>
      </w:r>
      <w:r w:rsidR="00C9665E" w:rsidRPr="003A55AB">
        <w:rPr>
          <w:rFonts w:ascii="Arial" w:hAnsi="Arial" w:cs="Arial"/>
        </w:rPr>
        <w:tab/>
      </w:r>
    </w:p>
    <w:p w14:paraId="68950C9E" w14:textId="2514A53C" w:rsidR="00C9665E" w:rsidRDefault="00E12699" w:rsidP="00702248">
      <w:pPr>
        <w:pBdr>
          <w:top w:val="single" w:sz="4" w:space="1" w:color="auto"/>
          <w:left w:val="single" w:sz="4" w:space="4" w:color="auto"/>
          <w:bottom w:val="single" w:sz="4" w:space="1" w:color="auto"/>
          <w:right w:val="single" w:sz="4" w:space="31" w:color="auto"/>
        </w:pBdr>
        <w:tabs>
          <w:tab w:val="left" w:pos="1843"/>
        </w:tabs>
        <w:spacing w:line="360" w:lineRule="auto"/>
        <w:jc w:val="both"/>
        <w:rPr>
          <w:rFonts w:ascii="Arial" w:hAnsi="Arial" w:cs="Arial"/>
        </w:rPr>
      </w:pPr>
      <w:r w:rsidRPr="003A55AB">
        <w:rPr>
          <w:rFonts w:ascii="Arial" w:hAnsi="Arial" w:cs="Arial"/>
        </w:rPr>
        <w:t>Signature:</w:t>
      </w:r>
      <w:r w:rsidR="006A1104" w:rsidRPr="003A55AB">
        <w:rPr>
          <w:rFonts w:ascii="Arial" w:hAnsi="Arial" w:cs="Arial"/>
        </w:rPr>
        <w:tab/>
      </w:r>
      <w:r w:rsidR="00C9665E" w:rsidRPr="003A55AB">
        <w:rPr>
          <w:rFonts w:ascii="Arial" w:hAnsi="Arial" w:cs="Arial"/>
        </w:rPr>
        <w:tab/>
      </w:r>
      <w:r w:rsidR="00C9665E" w:rsidRPr="003A55AB">
        <w:rPr>
          <w:rFonts w:ascii="Arial" w:hAnsi="Arial" w:cs="Arial"/>
        </w:rPr>
        <w:tab/>
      </w:r>
      <w:r w:rsidR="00C9665E" w:rsidRPr="003A55AB">
        <w:rPr>
          <w:rFonts w:ascii="Arial" w:hAnsi="Arial" w:cs="Arial"/>
        </w:rPr>
        <w:tab/>
      </w:r>
      <w:r w:rsidR="00C9665E" w:rsidRPr="003A55AB">
        <w:rPr>
          <w:rFonts w:ascii="Arial" w:hAnsi="Arial" w:cs="Arial"/>
        </w:rPr>
        <w:tab/>
      </w:r>
    </w:p>
    <w:p w14:paraId="5D5F3908" w14:textId="77777777" w:rsidR="000B6A69" w:rsidRDefault="000B6A69" w:rsidP="00702248">
      <w:pPr>
        <w:pBdr>
          <w:top w:val="single" w:sz="4" w:space="1" w:color="auto"/>
          <w:left w:val="single" w:sz="4" w:space="4" w:color="auto"/>
          <w:bottom w:val="single" w:sz="4" w:space="1" w:color="auto"/>
          <w:right w:val="single" w:sz="4" w:space="31" w:color="auto"/>
        </w:pBdr>
        <w:tabs>
          <w:tab w:val="left" w:pos="1843"/>
        </w:tabs>
        <w:jc w:val="both"/>
        <w:rPr>
          <w:rFonts w:ascii="Arial" w:hAnsi="Arial" w:cs="Arial"/>
        </w:rPr>
      </w:pPr>
    </w:p>
    <w:p w14:paraId="7A29E653" w14:textId="4D88538A" w:rsidR="000B6A69" w:rsidRDefault="000B6A69" w:rsidP="00702248">
      <w:pPr>
        <w:pBdr>
          <w:top w:val="single" w:sz="4" w:space="1" w:color="auto"/>
          <w:left w:val="single" w:sz="4" w:space="4" w:color="auto"/>
          <w:bottom w:val="single" w:sz="4" w:space="1" w:color="auto"/>
          <w:right w:val="single" w:sz="4" w:space="31" w:color="auto"/>
        </w:pBdr>
        <w:tabs>
          <w:tab w:val="left" w:pos="1843"/>
        </w:tabs>
        <w:jc w:val="both"/>
        <w:rPr>
          <w:rFonts w:ascii="Arial" w:hAnsi="Arial" w:cs="Arial"/>
        </w:rPr>
      </w:pPr>
      <w:r w:rsidRPr="00754AD1">
        <w:rPr>
          <w:rFonts w:ascii="Arial" w:hAnsi="Arial" w:cs="Arial"/>
          <w:b/>
        </w:rPr>
        <w:t>Consolidation Officer</w:t>
      </w:r>
      <w:r w:rsidR="00C41415">
        <w:rPr>
          <w:rFonts w:ascii="Arial" w:hAnsi="Arial" w:cs="Arial"/>
          <w:b/>
        </w:rPr>
        <w:t xml:space="preserve"> </w:t>
      </w:r>
      <w:r w:rsidR="00C41415" w:rsidRPr="00702248">
        <w:rPr>
          <w:rFonts w:ascii="Arial" w:hAnsi="Arial" w:cs="Arial"/>
          <w:bCs/>
        </w:rPr>
        <w:t>(reviewer)</w:t>
      </w:r>
    </w:p>
    <w:p w14:paraId="1CA20AB2" w14:textId="77777777" w:rsidR="000B6A69" w:rsidRDefault="000B6A69" w:rsidP="00702248">
      <w:pPr>
        <w:pBdr>
          <w:top w:val="single" w:sz="4" w:space="1" w:color="auto"/>
          <w:left w:val="single" w:sz="4" w:space="4" w:color="auto"/>
          <w:bottom w:val="single" w:sz="4" w:space="1" w:color="auto"/>
          <w:right w:val="single" w:sz="4" w:space="31" w:color="auto"/>
        </w:pBdr>
        <w:tabs>
          <w:tab w:val="left" w:pos="1843"/>
        </w:tabs>
        <w:spacing w:line="360" w:lineRule="auto"/>
        <w:jc w:val="both"/>
        <w:rPr>
          <w:rFonts w:ascii="Arial" w:hAnsi="Arial" w:cs="Arial"/>
        </w:rPr>
      </w:pPr>
      <w:r w:rsidRPr="00754AD1">
        <w:rPr>
          <w:rFonts w:ascii="Arial" w:hAnsi="Arial" w:cs="Arial"/>
        </w:rPr>
        <w:t>Name:</w:t>
      </w:r>
    </w:p>
    <w:p w14:paraId="704659AF" w14:textId="77777777" w:rsidR="000B6A69" w:rsidRDefault="000B6A69" w:rsidP="00702248">
      <w:pPr>
        <w:pBdr>
          <w:top w:val="single" w:sz="4" w:space="1" w:color="auto"/>
          <w:left w:val="single" w:sz="4" w:space="4" w:color="auto"/>
          <w:bottom w:val="single" w:sz="4" w:space="1" w:color="auto"/>
          <w:right w:val="single" w:sz="4" w:space="31" w:color="auto"/>
        </w:pBdr>
        <w:tabs>
          <w:tab w:val="left" w:pos="1843"/>
        </w:tabs>
        <w:spacing w:line="360" w:lineRule="auto"/>
        <w:jc w:val="both"/>
        <w:rPr>
          <w:rFonts w:ascii="Arial" w:hAnsi="Arial" w:cs="Arial"/>
        </w:rPr>
      </w:pPr>
      <w:r w:rsidRPr="00754AD1">
        <w:rPr>
          <w:rFonts w:ascii="Arial" w:hAnsi="Arial" w:cs="Arial"/>
        </w:rPr>
        <w:t>Date:</w:t>
      </w:r>
    </w:p>
    <w:p w14:paraId="411B7DD6" w14:textId="4930ACAA" w:rsidR="000B6A69" w:rsidRPr="003A55AB" w:rsidRDefault="000B6A69" w:rsidP="00702248">
      <w:pPr>
        <w:pBdr>
          <w:top w:val="single" w:sz="4" w:space="1" w:color="auto"/>
          <w:left w:val="single" w:sz="4" w:space="4" w:color="auto"/>
          <w:bottom w:val="single" w:sz="4" w:space="1" w:color="auto"/>
          <w:right w:val="single" w:sz="4" w:space="31" w:color="auto"/>
        </w:pBdr>
        <w:tabs>
          <w:tab w:val="left" w:pos="1843"/>
        </w:tabs>
        <w:spacing w:line="360" w:lineRule="auto"/>
        <w:jc w:val="both"/>
        <w:rPr>
          <w:rFonts w:ascii="Arial" w:hAnsi="Arial" w:cs="Arial"/>
        </w:rPr>
      </w:pPr>
      <w:r w:rsidRPr="00754AD1">
        <w:rPr>
          <w:rFonts w:ascii="Arial" w:hAnsi="Arial" w:cs="Arial"/>
        </w:rPr>
        <w:t>Signature:</w:t>
      </w:r>
      <w:r w:rsidRPr="00754AD1">
        <w:rPr>
          <w:rFonts w:ascii="Arial" w:hAnsi="Arial" w:cs="Arial"/>
        </w:rPr>
        <w:tab/>
      </w:r>
    </w:p>
    <w:p w14:paraId="6C3F2E01" w14:textId="77777777" w:rsidR="00DA06B1" w:rsidRPr="00896610" w:rsidRDefault="00DA06B1" w:rsidP="00702248">
      <w:pPr>
        <w:pBdr>
          <w:top w:val="single" w:sz="4" w:space="1" w:color="auto"/>
          <w:left w:val="single" w:sz="4" w:space="4" w:color="auto"/>
          <w:bottom w:val="single" w:sz="4" w:space="1" w:color="auto"/>
          <w:right w:val="single" w:sz="4" w:space="31" w:color="auto"/>
        </w:pBdr>
        <w:tabs>
          <w:tab w:val="left" w:pos="1843"/>
        </w:tabs>
        <w:jc w:val="both"/>
        <w:rPr>
          <w:b/>
          <w:sz w:val="23"/>
          <w:szCs w:val="23"/>
        </w:rPr>
      </w:pPr>
    </w:p>
    <w:p w14:paraId="4F40022C" w14:textId="096453CC" w:rsidR="00502A60" w:rsidRDefault="00502A60" w:rsidP="002C5D12">
      <w:pPr>
        <w:jc w:val="both"/>
        <w:rPr>
          <w:sz w:val="22"/>
        </w:rPr>
        <w:sectPr w:rsidR="00502A60" w:rsidSect="009B301C">
          <w:headerReference w:type="even" r:id="rId16"/>
          <w:headerReference w:type="default" r:id="rId17"/>
          <w:footerReference w:type="even" r:id="rId18"/>
          <w:footerReference w:type="default" r:id="rId19"/>
          <w:headerReference w:type="first" r:id="rId20"/>
          <w:footerReference w:type="first" r:id="rId21"/>
          <w:type w:val="continuous"/>
          <w:pgSz w:w="16838" w:h="11906" w:orient="landscape" w:code="9"/>
          <w:pgMar w:top="567" w:right="567" w:bottom="851" w:left="567" w:header="426" w:footer="480" w:gutter="0"/>
          <w:cols w:num="2" w:space="708"/>
          <w:titlePg/>
          <w:docGrid w:linePitch="360"/>
        </w:sectPr>
      </w:pPr>
    </w:p>
    <w:p w14:paraId="0AFEAB18" w14:textId="77777777" w:rsidR="00C55ECF" w:rsidRPr="002067B4" w:rsidRDefault="00C55ECF" w:rsidP="008755E8">
      <w:pPr>
        <w:ind w:left="360"/>
        <w:jc w:val="both"/>
        <w:rPr>
          <w:rFonts w:ascii="Arial" w:hAnsi="Arial"/>
          <w:sz w:val="16"/>
        </w:rPr>
      </w:pPr>
    </w:p>
    <w:tbl>
      <w:tblPr>
        <w:tblStyle w:val="TableGrid"/>
        <w:tblW w:w="15650" w:type="dxa"/>
        <w:tblLayout w:type="fixed"/>
        <w:tblLook w:val="0020" w:firstRow="1" w:lastRow="0" w:firstColumn="0" w:lastColumn="0" w:noHBand="0" w:noVBand="0"/>
        <w:tblCaption w:val="Management Review Checklist for NI Local Government Entities"/>
        <w:tblDescription w:val="List of actions to be completed by local government entities in relation to the Whole of Government Accounts."/>
      </w:tblPr>
      <w:tblGrid>
        <w:gridCol w:w="10114"/>
        <w:gridCol w:w="1538"/>
        <w:gridCol w:w="3998"/>
      </w:tblGrid>
      <w:tr w:rsidR="00B20380" w:rsidRPr="00FB0CFC" w14:paraId="4C4ADF22" w14:textId="77777777" w:rsidTr="006A5CD8">
        <w:trPr>
          <w:trHeight w:val="632"/>
          <w:tblHeader/>
        </w:trPr>
        <w:tc>
          <w:tcPr>
            <w:tcW w:w="10114" w:type="dxa"/>
            <w:shd w:val="clear" w:color="auto" w:fill="D99594"/>
          </w:tcPr>
          <w:p w14:paraId="66F65DB5" w14:textId="43AFC496" w:rsidR="00B20380" w:rsidRPr="003A55AB" w:rsidRDefault="00B20380" w:rsidP="008755E8">
            <w:pPr>
              <w:pStyle w:val="BodyTextIndent2"/>
              <w:tabs>
                <w:tab w:val="left" w:pos="9232"/>
              </w:tabs>
              <w:ind w:left="0"/>
              <w:rPr>
                <w:sz w:val="22"/>
                <w:szCs w:val="22"/>
              </w:rPr>
            </w:pPr>
          </w:p>
        </w:tc>
        <w:tc>
          <w:tcPr>
            <w:tcW w:w="1538" w:type="dxa"/>
            <w:shd w:val="clear" w:color="auto" w:fill="D99594"/>
          </w:tcPr>
          <w:p w14:paraId="1475C61E" w14:textId="1057CBCF" w:rsidR="00B20380" w:rsidRPr="000C7977" w:rsidRDefault="00B20380" w:rsidP="000C7977">
            <w:pPr>
              <w:pStyle w:val="BodyTextIndent2"/>
              <w:tabs>
                <w:tab w:val="left" w:pos="9232"/>
              </w:tabs>
              <w:ind w:left="0"/>
              <w:jc w:val="left"/>
              <w:rPr>
                <w:b/>
                <w:i/>
                <w:iCs/>
                <w:sz w:val="22"/>
                <w:szCs w:val="22"/>
              </w:rPr>
            </w:pPr>
            <w:r w:rsidRPr="000C7977">
              <w:rPr>
                <w:b/>
                <w:i/>
                <w:iCs/>
                <w:sz w:val="22"/>
                <w:szCs w:val="22"/>
              </w:rPr>
              <w:t>Completed</w:t>
            </w:r>
            <w:r w:rsidR="003C7A02" w:rsidRPr="000C7977">
              <w:rPr>
                <w:b/>
                <w:i/>
                <w:iCs/>
                <w:sz w:val="22"/>
                <w:szCs w:val="22"/>
              </w:rPr>
              <w:t xml:space="preserve"> </w:t>
            </w:r>
          </w:p>
        </w:tc>
        <w:tc>
          <w:tcPr>
            <w:tcW w:w="3998" w:type="dxa"/>
            <w:shd w:val="clear" w:color="auto" w:fill="D99594"/>
          </w:tcPr>
          <w:p w14:paraId="3D49FF14" w14:textId="77777777" w:rsidR="00B20380" w:rsidRPr="000C7977" w:rsidRDefault="00B20380" w:rsidP="000C7977">
            <w:pPr>
              <w:pStyle w:val="BodyTextIndent2"/>
              <w:tabs>
                <w:tab w:val="left" w:pos="9232"/>
              </w:tabs>
              <w:ind w:left="0"/>
              <w:jc w:val="left"/>
              <w:rPr>
                <w:b/>
                <w:i/>
                <w:iCs/>
                <w:sz w:val="22"/>
                <w:szCs w:val="22"/>
              </w:rPr>
            </w:pPr>
            <w:r w:rsidRPr="000C7977">
              <w:rPr>
                <w:b/>
                <w:i/>
                <w:iCs/>
                <w:sz w:val="22"/>
                <w:szCs w:val="22"/>
              </w:rPr>
              <w:t>Management file reference</w:t>
            </w:r>
          </w:p>
          <w:p w14:paraId="5ACB8219" w14:textId="77777777" w:rsidR="00B20380" w:rsidRPr="000C7977" w:rsidRDefault="00B20380" w:rsidP="000C7977">
            <w:pPr>
              <w:pStyle w:val="BodyTextIndent2"/>
              <w:tabs>
                <w:tab w:val="left" w:pos="9232"/>
              </w:tabs>
              <w:ind w:left="0"/>
              <w:jc w:val="left"/>
              <w:rPr>
                <w:b/>
                <w:i/>
                <w:iCs/>
                <w:sz w:val="22"/>
                <w:szCs w:val="22"/>
              </w:rPr>
            </w:pPr>
            <w:r w:rsidRPr="000C7977">
              <w:rPr>
                <w:b/>
                <w:i/>
                <w:iCs/>
                <w:sz w:val="22"/>
                <w:szCs w:val="22"/>
              </w:rPr>
              <w:t>and comments</w:t>
            </w:r>
          </w:p>
        </w:tc>
      </w:tr>
      <w:tr w:rsidR="00B20380" w:rsidRPr="00FB0CFC" w14:paraId="530B233D" w14:textId="77777777" w:rsidTr="003A55AB">
        <w:trPr>
          <w:trHeight w:val="211"/>
        </w:trPr>
        <w:tc>
          <w:tcPr>
            <w:tcW w:w="10114" w:type="dxa"/>
            <w:vAlign w:val="center"/>
          </w:tcPr>
          <w:p w14:paraId="7800913F" w14:textId="479F8846" w:rsidR="00B20380" w:rsidRDefault="00B20380" w:rsidP="00AC6ECD">
            <w:pPr>
              <w:pStyle w:val="BodyTextIndent2"/>
              <w:numPr>
                <w:ilvl w:val="0"/>
                <w:numId w:val="4"/>
              </w:numPr>
              <w:rPr>
                <w:sz w:val="22"/>
                <w:szCs w:val="22"/>
              </w:rPr>
            </w:pPr>
            <w:r w:rsidRPr="003A55AB">
              <w:rPr>
                <w:sz w:val="22"/>
                <w:szCs w:val="22"/>
              </w:rPr>
              <w:t xml:space="preserve">The data on </w:t>
            </w:r>
            <w:r w:rsidR="003C7A02">
              <w:rPr>
                <w:sz w:val="22"/>
                <w:szCs w:val="22"/>
              </w:rPr>
              <w:t>OSCAR</w:t>
            </w:r>
            <w:r w:rsidRPr="003A55AB">
              <w:rPr>
                <w:sz w:val="22"/>
                <w:szCs w:val="22"/>
              </w:rPr>
              <w:t xml:space="preserve"> has been correctly mapped from or reconciled to the </w:t>
            </w:r>
            <w:r w:rsidR="003E6279">
              <w:rPr>
                <w:sz w:val="22"/>
                <w:szCs w:val="22"/>
              </w:rPr>
              <w:t xml:space="preserve">draft or </w:t>
            </w:r>
            <w:r w:rsidRPr="003A55AB">
              <w:rPr>
                <w:sz w:val="22"/>
                <w:szCs w:val="22"/>
              </w:rPr>
              <w:t>final accounts and working papers. The mappings are consistent with the previous year.</w:t>
            </w:r>
          </w:p>
          <w:p w14:paraId="6F5F0453" w14:textId="23CC4235" w:rsidR="000B6A69" w:rsidRPr="003A55AB" w:rsidRDefault="000B6A69" w:rsidP="003A55AB">
            <w:pPr>
              <w:pStyle w:val="BodyTextIndent2"/>
              <w:ind w:left="357"/>
              <w:rPr>
                <w:sz w:val="22"/>
                <w:szCs w:val="22"/>
              </w:rPr>
            </w:pPr>
          </w:p>
        </w:tc>
        <w:tc>
          <w:tcPr>
            <w:tcW w:w="1538" w:type="dxa"/>
          </w:tcPr>
          <w:p w14:paraId="2B35D05A" w14:textId="77777777" w:rsidR="00B20380" w:rsidRPr="003A55AB" w:rsidRDefault="00B20380" w:rsidP="008755E8">
            <w:pPr>
              <w:pStyle w:val="BodyTextIndent2"/>
              <w:ind w:left="0"/>
              <w:rPr>
                <w:sz w:val="22"/>
                <w:szCs w:val="22"/>
                <w:u w:val="single"/>
              </w:rPr>
            </w:pPr>
          </w:p>
        </w:tc>
        <w:tc>
          <w:tcPr>
            <w:tcW w:w="3998" w:type="dxa"/>
          </w:tcPr>
          <w:p w14:paraId="30309684" w14:textId="77777777" w:rsidR="00B20380" w:rsidRPr="003A55AB" w:rsidRDefault="00B20380" w:rsidP="008755E8">
            <w:pPr>
              <w:pStyle w:val="BodyTextIndent2"/>
              <w:tabs>
                <w:tab w:val="left" w:pos="9232"/>
              </w:tabs>
              <w:ind w:left="0"/>
              <w:rPr>
                <w:sz w:val="22"/>
                <w:szCs w:val="22"/>
              </w:rPr>
            </w:pPr>
          </w:p>
        </w:tc>
      </w:tr>
      <w:tr w:rsidR="00B20380" w:rsidRPr="00FB0CFC" w14:paraId="01A1E7AE" w14:textId="77777777" w:rsidTr="003A55AB">
        <w:trPr>
          <w:trHeight w:val="398"/>
        </w:trPr>
        <w:tc>
          <w:tcPr>
            <w:tcW w:w="10114" w:type="dxa"/>
            <w:vAlign w:val="center"/>
          </w:tcPr>
          <w:p w14:paraId="474EF681" w14:textId="6F441244" w:rsidR="00B20380" w:rsidRDefault="00B20380" w:rsidP="00AC6ECD">
            <w:pPr>
              <w:pStyle w:val="BodyTextIndent2"/>
              <w:numPr>
                <w:ilvl w:val="0"/>
                <w:numId w:val="4"/>
              </w:numPr>
              <w:rPr>
                <w:sz w:val="22"/>
                <w:szCs w:val="22"/>
              </w:rPr>
            </w:pPr>
            <w:r w:rsidRPr="003A55AB">
              <w:rPr>
                <w:sz w:val="22"/>
                <w:szCs w:val="22"/>
                <w:u w:val="single"/>
              </w:rPr>
              <w:t>Opening balances</w:t>
            </w:r>
            <w:r w:rsidRPr="003A55AB">
              <w:rPr>
                <w:sz w:val="22"/>
                <w:szCs w:val="22"/>
              </w:rPr>
              <w:t xml:space="preserve"> are consistent with the closing balances submitted in the previous year. Adjustments are recorded correctly on </w:t>
            </w:r>
            <w:r w:rsidR="003C7A02">
              <w:rPr>
                <w:sz w:val="22"/>
                <w:szCs w:val="22"/>
              </w:rPr>
              <w:t>OSCAR</w:t>
            </w:r>
            <w:r w:rsidRPr="003A55AB">
              <w:rPr>
                <w:sz w:val="22"/>
                <w:szCs w:val="22"/>
              </w:rPr>
              <w:t xml:space="preserve"> and explanations are available for review.</w:t>
            </w:r>
          </w:p>
          <w:p w14:paraId="6D53BA77" w14:textId="27F4DF4A" w:rsidR="000B6A69" w:rsidRPr="003A55AB" w:rsidRDefault="000B6A69" w:rsidP="003A55AB">
            <w:pPr>
              <w:pStyle w:val="BodyTextIndent2"/>
              <w:ind w:left="357"/>
              <w:rPr>
                <w:sz w:val="22"/>
                <w:szCs w:val="22"/>
              </w:rPr>
            </w:pPr>
          </w:p>
        </w:tc>
        <w:tc>
          <w:tcPr>
            <w:tcW w:w="1538" w:type="dxa"/>
          </w:tcPr>
          <w:p w14:paraId="4025693B" w14:textId="77777777" w:rsidR="00B20380" w:rsidRPr="003A55AB" w:rsidRDefault="00B20380" w:rsidP="008755E8">
            <w:pPr>
              <w:pStyle w:val="BodyTextIndent2"/>
              <w:ind w:left="0"/>
              <w:rPr>
                <w:sz w:val="22"/>
                <w:szCs w:val="22"/>
                <w:u w:val="single"/>
              </w:rPr>
            </w:pPr>
          </w:p>
        </w:tc>
        <w:tc>
          <w:tcPr>
            <w:tcW w:w="3998" w:type="dxa"/>
          </w:tcPr>
          <w:p w14:paraId="7DFD8345" w14:textId="77777777" w:rsidR="00B20380" w:rsidRPr="003A55AB" w:rsidRDefault="00B20380" w:rsidP="008755E8">
            <w:pPr>
              <w:pStyle w:val="BodyTextIndent2"/>
              <w:tabs>
                <w:tab w:val="left" w:pos="9232"/>
              </w:tabs>
              <w:ind w:left="0"/>
              <w:rPr>
                <w:sz w:val="22"/>
                <w:szCs w:val="22"/>
              </w:rPr>
            </w:pPr>
          </w:p>
        </w:tc>
      </w:tr>
      <w:tr w:rsidR="00B20380" w:rsidRPr="00FB0CFC" w14:paraId="4EB557C2" w14:textId="77777777" w:rsidTr="003A55AB">
        <w:trPr>
          <w:trHeight w:val="118"/>
        </w:trPr>
        <w:tc>
          <w:tcPr>
            <w:tcW w:w="10114" w:type="dxa"/>
            <w:vAlign w:val="center"/>
          </w:tcPr>
          <w:p w14:paraId="34715216" w14:textId="77777777" w:rsidR="00B20380" w:rsidRDefault="00B20380" w:rsidP="008755E8">
            <w:pPr>
              <w:pStyle w:val="BodyTextIndent2"/>
              <w:numPr>
                <w:ilvl w:val="0"/>
                <w:numId w:val="4"/>
              </w:numPr>
              <w:rPr>
                <w:sz w:val="22"/>
                <w:szCs w:val="22"/>
              </w:rPr>
            </w:pPr>
            <w:r w:rsidRPr="003A55AB">
              <w:rPr>
                <w:sz w:val="22"/>
                <w:szCs w:val="22"/>
              </w:rPr>
              <w:t xml:space="preserve">The totals in the Statement of Comprehensive Income, Statement of Financial Position, Cashflow Statement and notes </w:t>
            </w:r>
            <w:r w:rsidRPr="003A55AB">
              <w:rPr>
                <w:sz w:val="22"/>
                <w:szCs w:val="22"/>
                <w:u w:val="single"/>
              </w:rPr>
              <w:t>agree with or are reconciled to</w:t>
            </w:r>
            <w:r w:rsidRPr="003A55AB">
              <w:rPr>
                <w:sz w:val="22"/>
                <w:szCs w:val="22"/>
              </w:rPr>
              <w:t xml:space="preserve"> the equivalent totals in the published accounts. </w:t>
            </w:r>
          </w:p>
          <w:p w14:paraId="3B41AA32" w14:textId="77777777" w:rsidR="000B6A69" w:rsidRPr="003A55AB" w:rsidRDefault="000B6A69" w:rsidP="003A55AB">
            <w:pPr>
              <w:pStyle w:val="BodyTextIndent2"/>
              <w:ind w:left="357"/>
              <w:rPr>
                <w:sz w:val="22"/>
                <w:szCs w:val="22"/>
              </w:rPr>
            </w:pPr>
          </w:p>
        </w:tc>
        <w:tc>
          <w:tcPr>
            <w:tcW w:w="1538" w:type="dxa"/>
          </w:tcPr>
          <w:p w14:paraId="612B0B8B" w14:textId="77777777" w:rsidR="00B20380" w:rsidRPr="003A55AB" w:rsidRDefault="00B20380" w:rsidP="008755E8">
            <w:pPr>
              <w:pStyle w:val="BodyTextIndent2"/>
              <w:ind w:left="0"/>
              <w:rPr>
                <w:sz w:val="22"/>
                <w:szCs w:val="22"/>
              </w:rPr>
            </w:pPr>
          </w:p>
        </w:tc>
        <w:tc>
          <w:tcPr>
            <w:tcW w:w="3998" w:type="dxa"/>
          </w:tcPr>
          <w:p w14:paraId="3D3FABFA" w14:textId="77777777" w:rsidR="00B20380" w:rsidRPr="003A55AB" w:rsidRDefault="00B20380" w:rsidP="008755E8">
            <w:pPr>
              <w:pStyle w:val="BodyTextIndent2"/>
              <w:ind w:left="0"/>
              <w:rPr>
                <w:sz w:val="22"/>
                <w:szCs w:val="22"/>
              </w:rPr>
            </w:pPr>
          </w:p>
        </w:tc>
      </w:tr>
      <w:tr w:rsidR="00B20380" w:rsidRPr="00FB0CFC" w14:paraId="0FC5114F" w14:textId="77777777" w:rsidTr="003A55AB">
        <w:trPr>
          <w:trHeight w:val="576"/>
        </w:trPr>
        <w:tc>
          <w:tcPr>
            <w:tcW w:w="10114" w:type="dxa"/>
            <w:vAlign w:val="center"/>
          </w:tcPr>
          <w:p w14:paraId="67C983CC" w14:textId="01F3EAA8" w:rsidR="00B20380" w:rsidRDefault="00B20380" w:rsidP="00896610">
            <w:pPr>
              <w:pStyle w:val="BodyTextIndent2"/>
              <w:numPr>
                <w:ilvl w:val="0"/>
                <w:numId w:val="4"/>
              </w:numPr>
              <w:rPr>
                <w:sz w:val="22"/>
                <w:szCs w:val="22"/>
              </w:rPr>
            </w:pPr>
            <w:r w:rsidRPr="003A55AB">
              <w:rPr>
                <w:sz w:val="22"/>
                <w:szCs w:val="22"/>
              </w:rPr>
              <w:t xml:space="preserve">Individual Reserves making up the </w:t>
            </w:r>
            <w:r w:rsidRPr="003A55AB">
              <w:rPr>
                <w:sz w:val="22"/>
                <w:szCs w:val="22"/>
                <w:u w:val="single"/>
              </w:rPr>
              <w:t>Taxpayers’ Funds</w:t>
            </w:r>
            <w:r w:rsidRPr="003A55AB">
              <w:rPr>
                <w:sz w:val="22"/>
                <w:szCs w:val="22"/>
              </w:rPr>
              <w:t xml:space="preserve"> in the “Reserves” tab on </w:t>
            </w:r>
            <w:r w:rsidR="003C7A02">
              <w:rPr>
                <w:sz w:val="22"/>
                <w:szCs w:val="22"/>
              </w:rPr>
              <w:t>OSCAR</w:t>
            </w:r>
            <w:r w:rsidRPr="003A55AB">
              <w:rPr>
                <w:sz w:val="22"/>
                <w:szCs w:val="22"/>
              </w:rPr>
              <w:t xml:space="preserve"> agree or reconcile to the equivalent components in the accounts.</w:t>
            </w:r>
          </w:p>
          <w:p w14:paraId="1DF48153" w14:textId="4CD1FAB1" w:rsidR="000B6A69" w:rsidRPr="003A55AB" w:rsidRDefault="000B6A69" w:rsidP="003A55AB">
            <w:pPr>
              <w:pStyle w:val="BodyTextIndent2"/>
              <w:ind w:left="357"/>
              <w:rPr>
                <w:sz w:val="22"/>
                <w:szCs w:val="22"/>
              </w:rPr>
            </w:pPr>
          </w:p>
        </w:tc>
        <w:tc>
          <w:tcPr>
            <w:tcW w:w="1538" w:type="dxa"/>
          </w:tcPr>
          <w:p w14:paraId="48120A72" w14:textId="77777777" w:rsidR="00B20380" w:rsidRPr="003A55AB" w:rsidRDefault="00B20380" w:rsidP="008755E8">
            <w:pPr>
              <w:pStyle w:val="BodyTextIndent2"/>
              <w:ind w:left="0"/>
              <w:rPr>
                <w:sz w:val="22"/>
                <w:szCs w:val="22"/>
              </w:rPr>
            </w:pPr>
          </w:p>
        </w:tc>
        <w:tc>
          <w:tcPr>
            <w:tcW w:w="3998" w:type="dxa"/>
          </w:tcPr>
          <w:p w14:paraId="419517F6" w14:textId="77777777" w:rsidR="00B20380" w:rsidRPr="003A55AB" w:rsidRDefault="00B20380" w:rsidP="008755E8">
            <w:pPr>
              <w:pStyle w:val="BodyTextIndent2"/>
              <w:ind w:left="0"/>
              <w:rPr>
                <w:sz w:val="22"/>
                <w:szCs w:val="22"/>
              </w:rPr>
            </w:pPr>
          </w:p>
        </w:tc>
      </w:tr>
      <w:tr w:rsidR="00B20380" w:rsidRPr="00FB0CFC" w14:paraId="20679945" w14:textId="77777777" w:rsidTr="003A55AB">
        <w:trPr>
          <w:trHeight w:val="651"/>
        </w:trPr>
        <w:tc>
          <w:tcPr>
            <w:tcW w:w="10114" w:type="dxa"/>
            <w:vAlign w:val="center"/>
          </w:tcPr>
          <w:p w14:paraId="216D4CF0" w14:textId="77777777" w:rsidR="00B20380" w:rsidRDefault="00896610" w:rsidP="00AC6ECD">
            <w:pPr>
              <w:pStyle w:val="BodyTextIndent2"/>
              <w:numPr>
                <w:ilvl w:val="0"/>
                <w:numId w:val="4"/>
              </w:numPr>
              <w:rPr>
                <w:sz w:val="22"/>
                <w:szCs w:val="22"/>
              </w:rPr>
            </w:pPr>
            <w:r w:rsidRPr="003A55AB">
              <w:rPr>
                <w:sz w:val="22"/>
                <w:szCs w:val="22"/>
              </w:rPr>
              <w:t xml:space="preserve">Failed Validation tests </w:t>
            </w:r>
            <w:r w:rsidR="00BD69B6" w:rsidRPr="003A55AB">
              <w:rPr>
                <w:sz w:val="22"/>
                <w:szCs w:val="22"/>
              </w:rPr>
              <w:t xml:space="preserve">(on “Validation Errors” tab) </w:t>
            </w:r>
            <w:r w:rsidRPr="003A55AB">
              <w:rPr>
                <w:sz w:val="22"/>
                <w:szCs w:val="22"/>
              </w:rPr>
              <w:t>have been satisfactorily explained or corrections have been made.</w:t>
            </w:r>
          </w:p>
          <w:p w14:paraId="1635CE7B" w14:textId="566C3FF8" w:rsidR="000B6A69" w:rsidRPr="003A55AB" w:rsidRDefault="000B6A69" w:rsidP="003A55AB">
            <w:pPr>
              <w:pStyle w:val="BodyTextIndent2"/>
              <w:ind w:left="357"/>
              <w:rPr>
                <w:sz w:val="22"/>
                <w:szCs w:val="22"/>
              </w:rPr>
            </w:pPr>
          </w:p>
        </w:tc>
        <w:tc>
          <w:tcPr>
            <w:tcW w:w="1538" w:type="dxa"/>
          </w:tcPr>
          <w:p w14:paraId="293F02CD" w14:textId="77777777" w:rsidR="00B20380" w:rsidRPr="003A55AB" w:rsidRDefault="00B20380" w:rsidP="008755E8">
            <w:pPr>
              <w:pStyle w:val="BodyTextIndent2"/>
              <w:ind w:left="0"/>
              <w:rPr>
                <w:sz w:val="22"/>
                <w:szCs w:val="22"/>
              </w:rPr>
            </w:pPr>
          </w:p>
        </w:tc>
        <w:tc>
          <w:tcPr>
            <w:tcW w:w="3998" w:type="dxa"/>
          </w:tcPr>
          <w:p w14:paraId="5421668A" w14:textId="77777777" w:rsidR="00B20380" w:rsidRPr="003A55AB" w:rsidRDefault="00B20380" w:rsidP="008755E8">
            <w:pPr>
              <w:pStyle w:val="BodyTextIndent2"/>
              <w:ind w:left="0"/>
              <w:rPr>
                <w:sz w:val="22"/>
                <w:szCs w:val="22"/>
              </w:rPr>
            </w:pPr>
          </w:p>
        </w:tc>
      </w:tr>
      <w:tr w:rsidR="00B20380" w:rsidRPr="00FB0CFC" w14:paraId="2BF4F7C2" w14:textId="77777777" w:rsidTr="003A55AB">
        <w:trPr>
          <w:trHeight w:val="261"/>
        </w:trPr>
        <w:tc>
          <w:tcPr>
            <w:tcW w:w="10114" w:type="dxa"/>
            <w:vAlign w:val="center"/>
          </w:tcPr>
          <w:p w14:paraId="416FBD70" w14:textId="77777777" w:rsidR="00B20380" w:rsidRPr="003A55AB" w:rsidRDefault="00B20380" w:rsidP="008755E8">
            <w:pPr>
              <w:pStyle w:val="BodyTextIndent2"/>
              <w:numPr>
                <w:ilvl w:val="0"/>
                <w:numId w:val="4"/>
              </w:numPr>
              <w:rPr>
                <w:sz w:val="22"/>
                <w:szCs w:val="22"/>
              </w:rPr>
            </w:pPr>
            <w:r w:rsidRPr="003A55AB">
              <w:rPr>
                <w:sz w:val="22"/>
                <w:szCs w:val="22"/>
              </w:rPr>
              <w:t xml:space="preserve">The </w:t>
            </w:r>
            <w:r w:rsidRPr="003A55AB">
              <w:rPr>
                <w:sz w:val="22"/>
                <w:szCs w:val="22"/>
                <w:u w:val="single"/>
              </w:rPr>
              <w:t>Additional Information</w:t>
            </w:r>
            <w:r w:rsidRPr="003A55AB">
              <w:rPr>
                <w:sz w:val="22"/>
                <w:szCs w:val="22"/>
              </w:rPr>
              <w:t xml:space="preserve"> requested in the DCT has been provided on worksheets:</w:t>
            </w:r>
          </w:p>
          <w:p w14:paraId="76C35590" w14:textId="7D84C7EF" w:rsidR="00B20380" w:rsidRPr="003A55AB" w:rsidRDefault="00B20380" w:rsidP="008755E8">
            <w:pPr>
              <w:pStyle w:val="BodyTextIndent2"/>
              <w:ind w:left="357"/>
              <w:rPr>
                <w:sz w:val="22"/>
                <w:szCs w:val="22"/>
              </w:rPr>
            </w:pPr>
            <w:r w:rsidRPr="003A55AB">
              <w:rPr>
                <w:sz w:val="22"/>
                <w:szCs w:val="22"/>
              </w:rPr>
              <w:t>Fin Inst</w:t>
            </w:r>
          </w:p>
          <w:p w14:paraId="3EB67A63" w14:textId="69F710DC" w:rsidR="00B20380" w:rsidRPr="003A55AB" w:rsidRDefault="00B20380" w:rsidP="008755E8">
            <w:pPr>
              <w:pStyle w:val="BodyTextIndent2"/>
              <w:ind w:left="357"/>
              <w:rPr>
                <w:sz w:val="22"/>
                <w:szCs w:val="22"/>
              </w:rPr>
            </w:pPr>
            <w:r w:rsidRPr="003A55AB">
              <w:rPr>
                <w:sz w:val="22"/>
                <w:szCs w:val="22"/>
              </w:rPr>
              <w:t>Additional Data</w:t>
            </w:r>
          </w:p>
          <w:p w14:paraId="1B875040" w14:textId="77777777" w:rsidR="00B20380" w:rsidRDefault="00B20380" w:rsidP="00896610">
            <w:pPr>
              <w:pStyle w:val="BodyTextIndent2"/>
              <w:ind w:left="357"/>
              <w:rPr>
                <w:sz w:val="22"/>
                <w:szCs w:val="22"/>
              </w:rPr>
            </w:pPr>
            <w:r w:rsidRPr="003A55AB">
              <w:rPr>
                <w:sz w:val="22"/>
                <w:szCs w:val="22"/>
              </w:rPr>
              <w:t>Coll</w:t>
            </w:r>
            <w:r w:rsidR="00896610" w:rsidRPr="003A55AB">
              <w:rPr>
                <w:sz w:val="22"/>
                <w:szCs w:val="22"/>
              </w:rPr>
              <w:t xml:space="preserve">ection </w:t>
            </w:r>
            <w:r w:rsidRPr="003A55AB">
              <w:rPr>
                <w:sz w:val="22"/>
                <w:szCs w:val="22"/>
              </w:rPr>
              <w:t>Fund</w:t>
            </w:r>
          </w:p>
          <w:p w14:paraId="7DB90481" w14:textId="35657DBF" w:rsidR="000B6A69" w:rsidRPr="003A55AB" w:rsidRDefault="000B6A69" w:rsidP="003A55AB">
            <w:pPr>
              <w:pStyle w:val="BodyTextIndent2"/>
              <w:ind w:left="0"/>
              <w:rPr>
                <w:sz w:val="22"/>
                <w:szCs w:val="22"/>
              </w:rPr>
            </w:pPr>
          </w:p>
        </w:tc>
        <w:tc>
          <w:tcPr>
            <w:tcW w:w="1538" w:type="dxa"/>
          </w:tcPr>
          <w:p w14:paraId="3DEECA31" w14:textId="25C5CBD1" w:rsidR="00B20380" w:rsidRPr="003A55AB" w:rsidRDefault="00B20380" w:rsidP="008755E8">
            <w:pPr>
              <w:pStyle w:val="BodyTextIndent2"/>
              <w:ind w:left="0"/>
              <w:rPr>
                <w:sz w:val="22"/>
                <w:szCs w:val="22"/>
              </w:rPr>
            </w:pPr>
          </w:p>
        </w:tc>
        <w:tc>
          <w:tcPr>
            <w:tcW w:w="3998" w:type="dxa"/>
          </w:tcPr>
          <w:p w14:paraId="0F96EC53" w14:textId="77777777" w:rsidR="00B20380" w:rsidRPr="003A55AB" w:rsidRDefault="00B20380" w:rsidP="008755E8">
            <w:pPr>
              <w:pStyle w:val="BodyTextIndent2"/>
              <w:ind w:left="0"/>
              <w:rPr>
                <w:sz w:val="22"/>
                <w:szCs w:val="22"/>
              </w:rPr>
            </w:pPr>
          </w:p>
        </w:tc>
      </w:tr>
      <w:tr w:rsidR="00B20380" w:rsidRPr="00FB0CFC" w14:paraId="4C9677C6" w14:textId="77777777" w:rsidTr="003A55AB">
        <w:trPr>
          <w:trHeight w:val="743"/>
        </w:trPr>
        <w:tc>
          <w:tcPr>
            <w:tcW w:w="10114" w:type="dxa"/>
            <w:vAlign w:val="center"/>
          </w:tcPr>
          <w:p w14:paraId="2E3A2914" w14:textId="77777777" w:rsidR="00B20380" w:rsidRDefault="00B20380" w:rsidP="00DD3390">
            <w:pPr>
              <w:pStyle w:val="BodyTextIndent2"/>
              <w:numPr>
                <w:ilvl w:val="0"/>
                <w:numId w:val="4"/>
              </w:numPr>
              <w:rPr>
                <w:sz w:val="22"/>
                <w:szCs w:val="22"/>
              </w:rPr>
            </w:pPr>
            <w:r w:rsidRPr="003A55AB">
              <w:rPr>
                <w:sz w:val="22"/>
                <w:szCs w:val="22"/>
              </w:rPr>
              <w:t>Intra-WGA group transaction streams and balances are correctly recorded with the appropriate CPID codes. Completeness and accuracy of the data is supported by appropriate evidence and analysis, including evidence of agreed balances and transactions being included.</w:t>
            </w:r>
          </w:p>
          <w:p w14:paraId="3A7AB0E8" w14:textId="77777777" w:rsidR="000B6A69" w:rsidRPr="003A55AB" w:rsidRDefault="000B6A69" w:rsidP="003A55AB">
            <w:pPr>
              <w:pStyle w:val="BodyTextIndent2"/>
              <w:ind w:left="357"/>
              <w:rPr>
                <w:sz w:val="22"/>
                <w:szCs w:val="22"/>
              </w:rPr>
            </w:pPr>
          </w:p>
        </w:tc>
        <w:tc>
          <w:tcPr>
            <w:tcW w:w="1538" w:type="dxa"/>
          </w:tcPr>
          <w:p w14:paraId="0FE18D39" w14:textId="77777777" w:rsidR="00B20380" w:rsidRPr="003A55AB" w:rsidRDefault="00B20380" w:rsidP="00DD3390">
            <w:pPr>
              <w:pStyle w:val="BodyTextIndent2"/>
              <w:ind w:left="0"/>
              <w:rPr>
                <w:sz w:val="22"/>
                <w:szCs w:val="22"/>
                <w:u w:val="single"/>
              </w:rPr>
            </w:pPr>
          </w:p>
        </w:tc>
        <w:tc>
          <w:tcPr>
            <w:tcW w:w="3998" w:type="dxa"/>
          </w:tcPr>
          <w:p w14:paraId="4CAE0F86" w14:textId="77777777" w:rsidR="00B20380" w:rsidRPr="003A55AB" w:rsidRDefault="00B20380" w:rsidP="00DD3390">
            <w:pPr>
              <w:pStyle w:val="BodyTextIndent2"/>
              <w:ind w:left="0"/>
              <w:rPr>
                <w:sz w:val="22"/>
                <w:szCs w:val="22"/>
                <w:u w:val="single"/>
              </w:rPr>
            </w:pPr>
          </w:p>
        </w:tc>
      </w:tr>
      <w:tr w:rsidR="00B20380" w:rsidRPr="00FB0CFC" w14:paraId="403B8859" w14:textId="77777777" w:rsidTr="003A55AB">
        <w:trPr>
          <w:trHeight w:val="542"/>
        </w:trPr>
        <w:tc>
          <w:tcPr>
            <w:tcW w:w="10114" w:type="dxa"/>
            <w:vAlign w:val="center"/>
          </w:tcPr>
          <w:p w14:paraId="15535968" w14:textId="2533709D" w:rsidR="00B20380" w:rsidRDefault="00B20380" w:rsidP="00DD3390">
            <w:pPr>
              <w:pStyle w:val="BodyTextIndent2"/>
              <w:numPr>
                <w:ilvl w:val="0"/>
                <w:numId w:val="4"/>
              </w:numPr>
              <w:rPr>
                <w:sz w:val="22"/>
                <w:szCs w:val="22"/>
              </w:rPr>
            </w:pPr>
            <w:r w:rsidRPr="003A55AB">
              <w:rPr>
                <w:sz w:val="22"/>
                <w:szCs w:val="22"/>
              </w:rPr>
              <w:t xml:space="preserve">Intra-WGA group balances recorded in the CPID analysis are reconciled with the intra-group disclosures made in the statutory </w:t>
            </w:r>
            <w:r w:rsidRPr="003A55AB">
              <w:rPr>
                <w:sz w:val="22"/>
                <w:szCs w:val="22"/>
                <w:u w:val="single"/>
              </w:rPr>
              <w:t>accounts</w:t>
            </w:r>
            <w:r w:rsidRPr="003A55AB">
              <w:rPr>
                <w:sz w:val="22"/>
                <w:szCs w:val="22"/>
              </w:rPr>
              <w:t xml:space="preserve"> in respect of debtors and creditors. If not, differences have been explained. </w:t>
            </w:r>
          </w:p>
          <w:p w14:paraId="437DB694" w14:textId="77777777" w:rsidR="000B6A69" w:rsidRPr="003A55AB" w:rsidRDefault="000B6A69" w:rsidP="003A55AB">
            <w:pPr>
              <w:pStyle w:val="BodyTextIndent2"/>
              <w:ind w:left="357"/>
              <w:rPr>
                <w:sz w:val="22"/>
                <w:szCs w:val="22"/>
              </w:rPr>
            </w:pPr>
          </w:p>
        </w:tc>
        <w:tc>
          <w:tcPr>
            <w:tcW w:w="1538" w:type="dxa"/>
          </w:tcPr>
          <w:p w14:paraId="48D228D4" w14:textId="77777777" w:rsidR="00B20380" w:rsidRPr="003A55AB" w:rsidRDefault="00B20380" w:rsidP="00DD3390">
            <w:pPr>
              <w:pStyle w:val="BodyTextIndent2"/>
              <w:ind w:left="0"/>
              <w:rPr>
                <w:sz w:val="22"/>
                <w:szCs w:val="22"/>
                <w:u w:val="single"/>
              </w:rPr>
            </w:pPr>
          </w:p>
        </w:tc>
        <w:tc>
          <w:tcPr>
            <w:tcW w:w="3998" w:type="dxa"/>
          </w:tcPr>
          <w:p w14:paraId="44104BDF" w14:textId="0C3228E8" w:rsidR="00B20380" w:rsidRPr="003A55AB" w:rsidRDefault="00B20380" w:rsidP="00DD3390">
            <w:pPr>
              <w:pStyle w:val="BodyTextIndent2"/>
              <w:tabs>
                <w:tab w:val="left" w:pos="9232"/>
              </w:tabs>
              <w:ind w:left="0"/>
              <w:rPr>
                <w:sz w:val="22"/>
                <w:szCs w:val="22"/>
              </w:rPr>
            </w:pPr>
            <w:r w:rsidRPr="003A55AB">
              <w:rPr>
                <w:sz w:val="22"/>
                <w:szCs w:val="22"/>
              </w:rPr>
              <w:t xml:space="preserve">If </w:t>
            </w:r>
            <w:r w:rsidR="00544B41" w:rsidRPr="003A55AB">
              <w:rPr>
                <w:sz w:val="22"/>
                <w:szCs w:val="22"/>
              </w:rPr>
              <w:t>not,</w:t>
            </w:r>
            <w:r w:rsidRPr="003A55AB">
              <w:rPr>
                <w:sz w:val="22"/>
                <w:szCs w:val="22"/>
              </w:rPr>
              <w:t xml:space="preserve"> please explain:</w:t>
            </w:r>
          </w:p>
        </w:tc>
      </w:tr>
      <w:tr w:rsidR="00B20380" w:rsidRPr="00FB0CFC" w14:paraId="796CCC35" w14:textId="77777777" w:rsidTr="003A55AB">
        <w:trPr>
          <w:trHeight w:val="624"/>
        </w:trPr>
        <w:tc>
          <w:tcPr>
            <w:tcW w:w="10114" w:type="dxa"/>
            <w:vAlign w:val="center"/>
          </w:tcPr>
          <w:p w14:paraId="4DBF08DA" w14:textId="722FA89A" w:rsidR="00B20380" w:rsidRDefault="00B20380" w:rsidP="009F5618">
            <w:pPr>
              <w:pStyle w:val="BodyTextIndent2"/>
              <w:numPr>
                <w:ilvl w:val="0"/>
                <w:numId w:val="4"/>
              </w:numPr>
              <w:rPr>
                <w:sz w:val="22"/>
                <w:szCs w:val="22"/>
              </w:rPr>
            </w:pPr>
            <w:r w:rsidRPr="003A55AB">
              <w:rPr>
                <w:sz w:val="22"/>
                <w:szCs w:val="22"/>
              </w:rPr>
              <w:t xml:space="preserve">Intra-WGA group balances and transactions identified on </w:t>
            </w:r>
            <w:r w:rsidR="003C7A02">
              <w:rPr>
                <w:sz w:val="22"/>
                <w:szCs w:val="22"/>
              </w:rPr>
              <w:t>OSCAR</w:t>
            </w:r>
            <w:r w:rsidRPr="003A55AB">
              <w:rPr>
                <w:sz w:val="22"/>
                <w:szCs w:val="22"/>
              </w:rPr>
              <w:t xml:space="preserve"> in </w:t>
            </w:r>
            <w:r w:rsidR="003C7A02" w:rsidRPr="003A55AB">
              <w:rPr>
                <w:sz w:val="22"/>
                <w:szCs w:val="22"/>
              </w:rPr>
              <w:t>202</w:t>
            </w:r>
            <w:r w:rsidR="003E6279">
              <w:rPr>
                <w:sz w:val="22"/>
                <w:szCs w:val="22"/>
              </w:rPr>
              <w:t>5</w:t>
            </w:r>
            <w:r w:rsidR="00D714CD" w:rsidRPr="003A55AB">
              <w:rPr>
                <w:sz w:val="22"/>
                <w:szCs w:val="22"/>
              </w:rPr>
              <w:t>-2</w:t>
            </w:r>
            <w:r w:rsidR="003E6279">
              <w:rPr>
                <w:sz w:val="22"/>
                <w:szCs w:val="22"/>
              </w:rPr>
              <w:t>6</w:t>
            </w:r>
            <w:r w:rsidR="00FB10EB" w:rsidRPr="003A55AB">
              <w:rPr>
                <w:sz w:val="22"/>
                <w:szCs w:val="22"/>
              </w:rPr>
              <w:t xml:space="preserve"> </w:t>
            </w:r>
            <w:r w:rsidRPr="003A55AB">
              <w:rPr>
                <w:sz w:val="22"/>
                <w:szCs w:val="22"/>
              </w:rPr>
              <w:t xml:space="preserve">are consistent with </w:t>
            </w:r>
            <w:r w:rsidR="003E6279" w:rsidRPr="003A55AB">
              <w:rPr>
                <w:sz w:val="22"/>
                <w:szCs w:val="22"/>
              </w:rPr>
              <w:t>202</w:t>
            </w:r>
            <w:r w:rsidR="003E6279">
              <w:rPr>
                <w:sz w:val="22"/>
                <w:szCs w:val="22"/>
              </w:rPr>
              <w:t>4</w:t>
            </w:r>
            <w:r w:rsidR="00D714CD" w:rsidRPr="003A55AB">
              <w:rPr>
                <w:sz w:val="22"/>
                <w:szCs w:val="22"/>
              </w:rPr>
              <w:t>-</w:t>
            </w:r>
            <w:r w:rsidR="003E6279" w:rsidRPr="003A55AB">
              <w:rPr>
                <w:sz w:val="22"/>
                <w:szCs w:val="22"/>
              </w:rPr>
              <w:t>2</w:t>
            </w:r>
            <w:r w:rsidR="003E6279">
              <w:rPr>
                <w:sz w:val="22"/>
                <w:szCs w:val="22"/>
              </w:rPr>
              <w:t>5</w:t>
            </w:r>
            <w:r w:rsidRPr="003A55AB">
              <w:rPr>
                <w:sz w:val="22"/>
                <w:szCs w:val="22"/>
              </w:rPr>
              <w:t>.  Differences have been explained.</w:t>
            </w:r>
          </w:p>
          <w:p w14:paraId="46EA8C1C" w14:textId="59AA3340" w:rsidR="000B6A69" w:rsidRPr="003A55AB" w:rsidRDefault="000B6A69" w:rsidP="003A55AB">
            <w:pPr>
              <w:pStyle w:val="BodyTextIndent2"/>
              <w:ind w:left="357"/>
              <w:rPr>
                <w:sz w:val="22"/>
                <w:szCs w:val="22"/>
              </w:rPr>
            </w:pPr>
          </w:p>
        </w:tc>
        <w:tc>
          <w:tcPr>
            <w:tcW w:w="1538" w:type="dxa"/>
          </w:tcPr>
          <w:p w14:paraId="2F0DD67B" w14:textId="77777777" w:rsidR="00B20380" w:rsidRPr="003A55AB" w:rsidRDefault="00B20380" w:rsidP="00DD3390">
            <w:pPr>
              <w:pStyle w:val="BodyTextIndent2"/>
              <w:ind w:left="0"/>
              <w:rPr>
                <w:sz w:val="22"/>
                <w:szCs w:val="22"/>
                <w:u w:val="single"/>
              </w:rPr>
            </w:pPr>
          </w:p>
        </w:tc>
        <w:tc>
          <w:tcPr>
            <w:tcW w:w="3998" w:type="dxa"/>
          </w:tcPr>
          <w:p w14:paraId="68EA23D0" w14:textId="23CF04C4" w:rsidR="00B20380" w:rsidRPr="003A55AB" w:rsidRDefault="00B20380" w:rsidP="00DD3390">
            <w:pPr>
              <w:pStyle w:val="BodyTextIndent2"/>
              <w:tabs>
                <w:tab w:val="left" w:pos="9232"/>
              </w:tabs>
              <w:ind w:left="0"/>
              <w:rPr>
                <w:sz w:val="22"/>
                <w:szCs w:val="22"/>
              </w:rPr>
            </w:pPr>
            <w:r w:rsidRPr="003A55AB">
              <w:rPr>
                <w:sz w:val="22"/>
                <w:szCs w:val="22"/>
              </w:rPr>
              <w:t xml:space="preserve">If </w:t>
            </w:r>
            <w:r w:rsidR="00544B41" w:rsidRPr="003A55AB">
              <w:rPr>
                <w:sz w:val="22"/>
                <w:szCs w:val="22"/>
              </w:rPr>
              <w:t>not,</w:t>
            </w:r>
            <w:r w:rsidRPr="003A55AB">
              <w:rPr>
                <w:sz w:val="22"/>
                <w:szCs w:val="22"/>
              </w:rPr>
              <w:t xml:space="preserve"> please explain:</w:t>
            </w:r>
          </w:p>
        </w:tc>
      </w:tr>
      <w:tr w:rsidR="00B20380" w:rsidRPr="00FB0CFC" w14:paraId="05F979E7" w14:textId="77777777" w:rsidTr="003A55AB">
        <w:trPr>
          <w:trHeight w:val="669"/>
        </w:trPr>
        <w:tc>
          <w:tcPr>
            <w:tcW w:w="10114" w:type="dxa"/>
            <w:vAlign w:val="center"/>
          </w:tcPr>
          <w:p w14:paraId="5DE311CD" w14:textId="07D2D8D7" w:rsidR="000B6A69" w:rsidRPr="003A55AB" w:rsidRDefault="00B20380" w:rsidP="000C7977">
            <w:pPr>
              <w:pStyle w:val="BodyTextIndent2"/>
              <w:numPr>
                <w:ilvl w:val="0"/>
                <w:numId w:val="4"/>
              </w:numPr>
              <w:rPr>
                <w:sz w:val="22"/>
                <w:szCs w:val="22"/>
              </w:rPr>
            </w:pPr>
            <w:r w:rsidRPr="003A55AB">
              <w:rPr>
                <w:sz w:val="22"/>
                <w:szCs w:val="22"/>
                <w:u w:val="single"/>
              </w:rPr>
              <w:lastRenderedPageBreak/>
              <w:t>Grants and CPIDs</w:t>
            </w:r>
            <w:r w:rsidRPr="003A55AB">
              <w:rPr>
                <w:sz w:val="22"/>
                <w:szCs w:val="22"/>
              </w:rPr>
              <w:t>: Grants from departments, NDPBs and public corporations have been recorded with the correct CPID of the grantor.</w:t>
            </w:r>
          </w:p>
        </w:tc>
        <w:tc>
          <w:tcPr>
            <w:tcW w:w="1538" w:type="dxa"/>
          </w:tcPr>
          <w:p w14:paraId="6B2ECBBF" w14:textId="77777777" w:rsidR="00B20380" w:rsidRPr="003A55AB" w:rsidRDefault="00B20380" w:rsidP="00DD3390">
            <w:pPr>
              <w:pStyle w:val="BodyTextIndent2"/>
              <w:ind w:left="0"/>
              <w:rPr>
                <w:sz w:val="22"/>
                <w:szCs w:val="22"/>
              </w:rPr>
            </w:pPr>
          </w:p>
        </w:tc>
        <w:tc>
          <w:tcPr>
            <w:tcW w:w="3998" w:type="dxa"/>
          </w:tcPr>
          <w:p w14:paraId="4F1F7C89" w14:textId="77777777" w:rsidR="00B20380" w:rsidRPr="003A55AB" w:rsidRDefault="00B20380" w:rsidP="00DD3390">
            <w:pPr>
              <w:pStyle w:val="BodyTextIndent2"/>
              <w:ind w:left="0"/>
              <w:rPr>
                <w:sz w:val="22"/>
                <w:szCs w:val="22"/>
              </w:rPr>
            </w:pPr>
          </w:p>
        </w:tc>
      </w:tr>
      <w:tr w:rsidR="00B20380" w:rsidRPr="00FB0CFC" w14:paraId="488158D4" w14:textId="77777777" w:rsidTr="003A55AB">
        <w:trPr>
          <w:trHeight w:val="1698"/>
        </w:trPr>
        <w:tc>
          <w:tcPr>
            <w:tcW w:w="10114" w:type="dxa"/>
            <w:vAlign w:val="center"/>
          </w:tcPr>
          <w:p w14:paraId="4EC63622" w14:textId="57C2667B" w:rsidR="00B20380" w:rsidRPr="003A55AB" w:rsidRDefault="00B20380" w:rsidP="00DD3390">
            <w:pPr>
              <w:pStyle w:val="BodyTextIndent2"/>
              <w:numPr>
                <w:ilvl w:val="0"/>
                <w:numId w:val="4"/>
              </w:numPr>
              <w:rPr>
                <w:sz w:val="22"/>
                <w:szCs w:val="22"/>
              </w:rPr>
            </w:pPr>
            <w:r w:rsidRPr="003A55AB">
              <w:rPr>
                <w:sz w:val="22"/>
                <w:szCs w:val="22"/>
                <w:u w:val="single"/>
              </w:rPr>
              <w:t>CPID</w:t>
            </w:r>
            <w:r w:rsidRPr="003A55AB">
              <w:rPr>
                <w:sz w:val="22"/>
                <w:szCs w:val="22"/>
              </w:rPr>
              <w:t xml:space="preserve"> disclosures in </w:t>
            </w:r>
            <w:r w:rsidR="003C7A02">
              <w:rPr>
                <w:sz w:val="22"/>
                <w:szCs w:val="22"/>
              </w:rPr>
              <w:t>OSCAR</w:t>
            </w:r>
            <w:r w:rsidRPr="003A55AB">
              <w:rPr>
                <w:sz w:val="22"/>
                <w:szCs w:val="22"/>
              </w:rPr>
              <w:t xml:space="preserve"> have been reconciled to grant certification, specifically:</w:t>
            </w:r>
          </w:p>
          <w:p w14:paraId="25179E6E" w14:textId="77777777" w:rsidR="00B20380" w:rsidRPr="003A55AB" w:rsidRDefault="00B20380" w:rsidP="00DD3390">
            <w:pPr>
              <w:pStyle w:val="BodyTextIndent2"/>
              <w:numPr>
                <w:ilvl w:val="0"/>
                <w:numId w:val="7"/>
              </w:numPr>
              <w:rPr>
                <w:sz w:val="22"/>
                <w:szCs w:val="22"/>
              </w:rPr>
            </w:pPr>
            <w:r w:rsidRPr="003A55AB">
              <w:rPr>
                <w:sz w:val="22"/>
                <w:szCs w:val="22"/>
              </w:rPr>
              <w:t>Housing Revenue Accounts Subsidy</w:t>
            </w:r>
          </w:p>
          <w:p w14:paraId="1625A0E7" w14:textId="77777777" w:rsidR="00B20380" w:rsidRPr="003A55AB" w:rsidRDefault="00B20380" w:rsidP="00DD3390">
            <w:pPr>
              <w:pStyle w:val="BodyTextIndent2"/>
              <w:numPr>
                <w:ilvl w:val="0"/>
                <w:numId w:val="7"/>
              </w:numPr>
              <w:rPr>
                <w:sz w:val="22"/>
                <w:szCs w:val="22"/>
              </w:rPr>
            </w:pPr>
            <w:r w:rsidRPr="003A55AB">
              <w:rPr>
                <w:sz w:val="22"/>
                <w:szCs w:val="22"/>
              </w:rPr>
              <w:t>Housing Benefit Scheme</w:t>
            </w:r>
          </w:p>
          <w:p w14:paraId="3C9A8793" w14:textId="77777777" w:rsidR="00B20380" w:rsidRPr="003A55AB" w:rsidRDefault="00B20380" w:rsidP="00DD3390">
            <w:pPr>
              <w:pStyle w:val="BodyTextIndent2"/>
              <w:numPr>
                <w:ilvl w:val="0"/>
                <w:numId w:val="7"/>
              </w:numPr>
              <w:rPr>
                <w:sz w:val="22"/>
                <w:szCs w:val="22"/>
              </w:rPr>
            </w:pPr>
            <w:proofErr w:type="gramStart"/>
            <w:r w:rsidRPr="003A55AB">
              <w:rPr>
                <w:sz w:val="22"/>
                <w:szCs w:val="22"/>
              </w:rPr>
              <w:t>Non Domestic</w:t>
            </w:r>
            <w:proofErr w:type="gramEnd"/>
            <w:r w:rsidRPr="003A55AB">
              <w:rPr>
                <w:sz w:val="22"/>
                <w:szCs w:val="22"/>
              </w:rPr>
              <w:t xml:space="preserve"> Rates</w:t>
            </w:r>
          </w:p>
          <w:p w14:paraId="0F4FDB16" w14:textId="77777777" w:rsidR="00B20380" w:rsidRPr="003A55AB" w:rsidRDefault="00B20380" w:rsidP="00DD3390">
            <w:pPr>
              <w:pStyle w:val="BodyTextIndent2"/>
              <w:numPr>
                <w:ilvl w:val="0"/>
                <w:numId w:val="7"/>
              </w:numPr>
              <w:rPr>
                <w:sz w:val="22"/>
                <w:szCs w:val="22"/>
              </w:rPr>
            </w:pPr>
            <w:r w:rsidRPr="003A55AB">
              <w:rPr>
                <w:sz w:val="22"/>
                <w:szCs w:val="22"/>
              </w:rPr>
              <w:t>Police Grant</w:t>
            </w:r>
          </w:p>
          <w:p w14:paraId="1B4FD3E7" w14:textId="77777777" w:rsidR="000B6A69" w:rsidRDefault="00B20380" w:rsidP="000B6A69">
            <w:pPr>
              <w:pStyle w:val="BodyTextIndent2"/>
              <w:numPr>
                <w:ilvl w:val="0"/>
                <w:numId w:val="7"/>
              </w:numPr>
              <w:rPr>
                <w:sz w:val="22"/>
                <w:szCs w:val="22"/>
              </w:rPr>
            </w:pPr>
            <w:r w:rsidRPr="003A55AB">
              <w:rPr>
                <w:sz w:val="22"/>
                <w:szCs w:val="22"/>
              </w:rPr>
              <w:t>Domestic Rates (Northern Ireland only)</w:t>
            </w:r>
          </w:p>
          <w:p w14:paraId="059495D1" w14:textId="6305F6E4" w:rsidR="000B6A69" w:rsidRPr="003A55AB" w:rsidDel="004F6760" w:rsidRDefault="000B6A69" w:rsidP="003A55AB">
            <w:pPr>
              <w:pStyle w:val="BodyTextIndent2"/>
              <w:ind w:left="720"/>
              <w:rPr>
                <w:sz w:val="22"/>
                <w:szCs w:val="22"/>
              </w:rPr>
            </w:pPr>
          </w:p>
        </w:tc>
        <w:tc>
          <w:tcPr>
            <w:tcW w:w="1538" w:type="dxa"/>
          </w:tcPr>
          <w:p w14:paraId="30441698" w14:textId="77777777" w:rsidR="00B20380" w:rsidRPr="003A55AB" w:rsidDel="004F6760" w:rsidRDefault="00B20380" w:rsidP="00DD3390">
            <w:pPr>
              <w:pStyle w:val="BodyTextIndent2"/>
              <w:ind w:left="0"/>
              <w:rPr>
                <w:sz w:val="22"/>
                <w:szCs w:val="22"/>
              </w:rPr>
            </w:pPr>
          </w:p>
        </w:tc>
        <w:tc>
          <w:tcPr>
            <w:tcW w:w="3998" w:type="dxa"/>
          </w:tcPr>
          <w:p w14:paraId="518077D0" w14:textId="77777777" w:rsidR="00B20380" w:rsidRPr="003A55AB" w:rsidDel="004F6760" w:rsidRDefault="00B20380" w:rsidP="00DD3390">
            <w:pPr>
              <w:pStyle w:val="BodyTextIndent2"/>
              <w:ind w:left="0"/>
              <w:rPr>
                <w:sz w:val="22"/>
                <w:szCs w:val="22"/>
              </w:rPr>
            </w:pPr>
            <w:r w:rsidRPr="003A55AB">
              <w:rPr>
                <w:sz w:val="22"/>
                <w:szCs w:val="22"/>
              </w:rPr>
              <w:t>If not, please explain:</w:t>
            </w:r>
          </w:p>
        </w:tc>
      </w:tr>
      <w:tr w:rsidR="00B20380" w:rsidRPr="00FB0CFC" w14:paraId="77E073C9" w14:textId="77777777" w:rsidTr="003A55AB">
        <w:trPr>
          <w:trHeight w:val="548"/>
        </w:trPr>
        <w:tc>
          <w:tcPr>
            <w:tcW w:w="10114" w:type="dxa"/>
            <w:vAlign w:val="center"/>
          </w:tcPr>
          <w:p w14:paraId="253996EE" w14:textId="77777777" w:rsidR="00B20380" w:rsidRPr="003A55AB" w:rsidRDefault="00B20380" w:rsidP="00DD3390">
            <w:pPr>
              <w:pStyle w:val="BodyTextIndent2"/>
              <w:numPr>
                <w:ilvl w:val="0"/>
                <w:numId w:val="4"/>
              </w:numPr>
              <w:rPr>
                <w:sz w:val="22"/>
                <w:szCs w:val="22"/>
              </w:rPr>
            </w:pPr>
            <w:r w:rsidRPr="003A55AB">
              <w:rPr>
                <w:sz w:val="22"/>
                <w:szCs w:val="22"/>
              </w:rPr>
              <w:t>CPID disclosures have been reconciled to loan agreements, specifically:</w:t>
            </w:r>
          </w:p>
          <w:p w14:paraId="2D60011A" w14:textId="77777777" w:rsidR="00B20380" w:rsidRPr="003A55AB" w:rsidRDefault="00B20380" w:rsidP="00DD3390">
            <w:pPr>
              <w:pStyle w:val="BodyTextIndent2"/>
              <w:numPr>
                <w:ilvl w:val="0"/>
                <w:numId w:val="6"/>
              </w:numPr>
              <w:rPr>
                <w:sz w:val="22"/>
                <w:szCs w:val="22"/>
              </w:rPr>
            </w:pPr>
            <w:r w:rsidRPr="003A55AB">
              <w:rPr>
                <w:sz w:val="22"/>
                <w:szCs w:val="22"/>
              </w:rPr>
              <w:t>Intra-authority cash deposits and loans</w:t>
            </w:r>
          </w:p>
          <w:p w14:paraId="7CAAFFDA" w14:textId="77777777" w:rsidR="000B6A69" w:rsidRDefault="00B20380" w:rsidP="000B6A69">
            <w:pPr>
              <w:pStyle w:val="BodyTextIndent2"/>
              <w:numPr>
                <w:ilvl w:val="0"/>
                <w:numId w:val="6"/>
              </w:numPr>
              <w:rPr>
                <w:sz w:val="22"/>
                <w:szCs w:val="22"/>
              </w:rPr>
            </w:pPr>
            <w:r w:rsidRPr="003A55AB">
              <w:rPr>
                <w:sz w:val="22"/>
                <w:szCs w:val="22"/>
              </w:rPr>
              <w:t>Northern Ireland Consolidated Fund</w:t>
            </w:r>
          </w:p>
          <w:p w14:paraId="571717B6" w14:textId="5273BDE8" w:rsidR="000B6A69" w:rsidRPr="003A55AB" w:rsidDel="004F6760" w:rsidRDefault="000B6A69" w:rsidP="003A55AB">
            <w:pPr>
              <w:pStyle w:val="BodyTextIndent2"/>
              <w:ind w:left="720"/>
              <w:rPr>
                <w:sz w:val="22"/>
                <w:szCs w:val="22"/>
              </w:rPr>
            </w:pPr>
          </w:p>
        </w:tc>
        <w:tc>
          <w:tcPr>
            <w:tcW w:w="1538" w:type="dxa"/>
          </w:tcPr>
          <w:p w14:paraId="2BF59615" w14:textId="77777777" w:rsidR="00B20380" w:rsidRPr="003A55AB" w:rsidDel="004F6760" w:rsidRDefault="00B20380" w:rsidP="00DD3390">
            <w:pPr>
              <w:pStyle w:val="BodyTextIndent2"/>
              <w:ind w:left="0"/>
              <w:rPr>
                <w:sz w:val="22"/>
                <w:szCs w:val="22"/>
              </w:rPr>
            </w:pPr>
          </w:p>
        </w:tc>
        <w:tc>
          <w:tcPr>
            <w:tcW w:w="3998" w:type="dxa"/>
          </w:tcPr>
          <w:p w14:paraId="0AB5B4A9" w14:textId="77777777" w:rsidR="00B20380" w:rsidRPr="003A55AB" w:rsidDel="004F6760" w:rsidRDefault="00B20380" w:rsidP="00DD3390">
            <w:pPr>
              <w:pStyle w:val="BodyTextIndent2"/>
              <w:ind w:left="0"/>
              <w:rPr>
                <w:sz w:val="22"/>
                <w:szCs w:val="22"/>
              </w:rPr>
            </w:pPr>
            <w:r w:rsidRPr="003A55AB">
              <w:rPr>
                <w:sz w:val="22"/>
                <w:szCs w:val="22"/>
              </w:rPr>
              <w:t>If not, please explain:</w:t>
            </w:r>
          </w:p>
        </w:tc>
      </w:tr>
      <w:tr w:rsidR="00B20380" w:rsidRPr="00FB0CFC" w:rsidDel="004F6760" w14:paraId="4D708F07" w14:textId="77777777" w:rsidTr="003A55AB">
        <w:trPr>
          <w:trHeight w:val="1094"/>
        </w:trPr>
        <w:tc>
          <w:tcPr>
            <w:tcW w:w="10114" w:type="dxa"/>
            <w:vAlign w:val="center"/>
          </w:tcPr>
          <w:p w14:paraId="78C6CF4A" w14:textId="77777777" w:rsidR="00B20380" w:rsidRPr="003A55AB" w:rsidRDefault="00B20380" w:rsidP="00DD3390">
            <w:pPr>
              <w:pStyle w:val="BodyTextIndent2"/>
              <w:numPr>
                <w:ilvl w:val="0"/>
                <w:numId w:val="4"/>
              </w:numPr>
              <w:rPr>
                <w:sz w:val="22"/>
                <w:szCs w:val="22"/>
              </w:rPr>
            </w:pPr>
            <w:r w:rsidRPr="003A55AB">
              <w:rPr>
                <w:sz w:val="22"/>
                <w:szCs w:val="22"/>
                <w:u w:val="single"/>
              </w:rPr>
              <w:t>Investments in government securities:</w:t>
            </w:r>
            <w:r w:rsidRPr="003A55AB">
              <w:rPr>
                <w:sz w:val="22"/>
                <w:szCs w:val="22"/>
              </w:rPr>
              <w:t xml:space="preserve"> </w:t>
            </w:r>
          </w:p>
          <w:p w14:paraId="5C4C2918" w14:textId="6FD408D5" w:rsidR="001059C9" w:rsidRPr="003A55AB" w:rsidRDefault="00F5037F" w:rsidP="001059C9">
            <w:pPr>
              <w:pStyle w:val="BodyTextIndent2"/>
              <w:numPr>
                <w:ilvl w:val="0"/>
                <w:numId w:val="9"/>
              </w:numPr>
              <w:jc w:val="left"/>
              <w:rPr>
                <w:sz w:val="22"/>
                <w:szCs w:val="22"/>
              </w:rPr>
            </w:pPr>
            <w:r w:rsidRPr="003A55AB">
              <w:rPr>
                <w:sz w:val="22"/>
                <w:szCs w:val="22"/>
              </w:rPr>
              <w:t>I</w:t>
            </w:r>
            <w:r w:rsidR="001059C9" w:rsidRPr="003A55AB">
              <w:rPr>
                <w:sz w:val="22"/>
                <w:szCs w:val="22"/>
              </w:rPr>
              <w:t>nvestments in government gilt securities have been coded to NLF888 (National Loans Fund)</w:t>
            </w:r>
          </w:p>
          <w:p w14:paraId="7E0B5206" w14:textId="441121D9" w:rsidR="00B20380" w:rsidRPr="003A55AB" w:rsidRDefault="00B20380" w:rsidP="00DD3390">
            <w:pPr>
              <w:pStyle w:val="BodyTextIndent2"/>
              <w:numPr>
                <w:ilvl w:val="0"/>
                <w:numId w:val="9"/>
              </w:numPr>
              <w:jc w:val="left"/>
              <w:rPr>
                <w:sz w:val="22"/>
                <w:szCs w:val="22"/>
              </w:rPr>
            </w:pPr>
            <w:r w:rsidRPr="003A55AB">
              <w:rPr>
                <w:sz w:val="22"/>
                <w:szCs w:val="22"/>
              </w:rPr>
              <w:t xml:space="preserve">Treasury Bills have been coded to DMA888 (Debt Management Office)  </w:t>
            </w:r>
          </w:p>
          <w:p w14:paraId="39C9F9E0" w14:textId="77777777" w:rsidR="000B6A69" w:rsidRDefault="00B20380" w:rsidP="000B6A69">
            <w:pPr>
              <w:pStyle w:val="BodyTextIndent2"/>
              <w:numPr>
                <w:ilvl w:val="0"/>
                <w:numId w:val="9"/>
              </w:numPr>
              <w:jc w:val="left"/>
              <w:rPr>
                <w:sz w:val="22"/>
                <w:szCs w:val="22"/>
              </w:rPr>
            </w:pPr>
            <w:r w:rsidRPr="003A55AB">
              <w:rPr>
                <w:sz w:val="22"/>
                <w:szCs w:val="22"/>
              </w:rPr>
              <w:t xml:space="preserve">Deposits and Treasury Bills have </w:t>
            </w:r>
            <w:r w:rsidRPr="003A55AB">
              <w:rPr>
                <w:sz w:val="22"/>
                <w:szCs w:val="22"/>
                <w:u w:val="single"/>
              </w:rPr>
              <w:t>not</w:t>
            </w:r>
            <w:r w:rsidRPr="003A55AB">
              <w:rPr>
                <w:sz w:val="22"/>
                <w:szCs w:val="22"/>
              </w:rPr>
              <w:t xml:space="preserve"> been recorded with HMT087 (HM Treasury)</w:t>
            </w:r>
          </w:p>
          <w:p w14:paraId="1356B209" w14:textId="4107115F" w:rsidR="000B6A69" w:rsidRPr="003A55AB" w:rsidRDefault="000B6A69" w:rsidP="003A55AB">
            <w:pPr>
              <w:pStyle w:val="BodyTextIndent2"/>
              <w:ind w:left="720"/>
              <w:jc w:val="left"/>
              <w:rPr>
                <w:sz w:val="22"/>
                <w:szCs w:val="22"/>
              </w:rPr>
            </w:pPr>
          </w:p>
        </w:tc>
        <w:tc>
          <w:tcPr>
            <w:tcW w:w="1538" w:type="dxa"/>
          </w:tcPr>
          <w:p w14:paraId="7FF8AE80" w14:textId="77777777" w:rsidR="00B20380" w:rsidRPr="003A55AB" w:rsidRDefault="00B20380" w:rsidP="00DD3390">
            <w:pPr>
              <w:pStyle w:val="BodyTextIndent2"/>
              <w:ind w:left="0"/>
              <w:rPr>
                <w:sz w:val="22"/>
                <w:szCs w:val="22"/>
              </w:rPr>
            </w:pPr>
          </w:p>
        </w:tc>
        <w:tc>
          <w:tcPr>
            <w:tcW w:w="3998" w:type="dxa"/>
          </w:tcPr>
          <w:p w14:paraId="20468BDE" w14:textId="77777777" w:rsidR="00B20380" w:rsidRPr="003A55AB" w:rsidRDefault="00B20380" w:rsidP="00DD3390">
            <w:pPr>
              <w:pStyle w:val="BodyTextIndent2"/>
              <w:ind w:left="0"/>
              <w:rPr>
                <w:sz w:val="22"/>
                <w:szCs w:val="22"/>
              </w:rPr>
            </w:pPr>
          </w:p>
        </w:tc>
      </w:tr>
      <w:tr w:rsidR="00B20380" w:rsidRPr="00FB0CFC" w:rsidDel="004F6760" w14:paraId="41F8944A" w14:textId="77777777" w:rsidTr="003A55AB">
        <w:trPr>
          <w:trHeight w:val="738"/>
        </w:trPr>
        <w:tc>
          <w:tcPr>
            <w:tcW w:w="10114" w:type="dxa"/>
            <w:vAlign w:val="center"/>
          </w:tcPr>
          <w:p w14:paraId="572F5689" w14:textId="77777777" w:rsidR="00DD2AEA" w:rsidRPr="003A55AB" w:rsidRDefault="00B20380" w:rsidP="00DD2AEA">
            <w:pPr>
              <w:pStyle w:val="BodyTextIndent2"/>
              <w:numPr>
                <w:ilvl w:val="0"/>
                <w:numId w:val="4"/>
              </w:numPr>
              <w:rPr>
                <w:sz w:val="22"/>
                <w:szCs w:val="22"/>
              </w:rPr>
            </w:pPr>
            <w:r w:rsidRPr="003A55AB">
              <w:rPr>
                <w:sz w:val="22"/>
                <w:szCs w:val="22"/>
                <w:u w:val="single"/>
              </w:rPr>
              <w:t>Employers’</w:t>
            </w:r>
            <w:r w:rsidRPr="003A55AB">
              <w:rPr>
                <w:sz w:val="22"/>
                <w:szCs w:val="22"/>
              </w:rPr>
              <w:t xml:space="preserve"> </w:t>
            </w:r>
            <w:r w:rsidRPr="003A55AB">
              <w:rPr>
                <w:sz w:val="22"/>
                <w:szCs w:val="22"/>
                <w:u w:val="single"/>
              </w:rPr>
              <w:t>pension contributions</w:t>
            </w:r>
            <w:r w:rsidRPr="003A55AB">
              <w:rPr>
                <w:sz w:val="22"/>
                <w:szCs w:val="22"/>
              </w:rPr>
              <w:t xml:space="preserve"> payable to the public sector pension schemes have been coded to the CPID code of the relevant scheme(s).  For example</w:t>
            </w:r>
            <w:r w:rsidR="000067BD" w:rsidRPr="003A55AB">
              <w:rPr>
                <w:sz w:val="22"/>
                <w:szCs w:val="22"/>
              </w:rPr>
              <w:t xml:space="preserve">, </w:t>
            </w:r>
          </w:p>
          <w:p w14:paraId="083B21F6" w14:textId="77777777" w:rsidR="000B6A69" w:rsidRDefault="00B20380" w:rsidP="000B6A69">
            <w:pPr>
              <w:pStyle w:val="BodyTextIndent2"/>
              <w:numPr>
                <w:ilvl w:val="0"/>
                <w:numId w:val="14"/>
              </w:numPr>
              <w:jc w:val="left"/>
              <w:rPr>
                <w:sz w:val="22"/>
                <w:szCs w:val="22"/>
              </w:rPr>
            </w:pPr>
            <w:r w:rsidRPr="003A55AB">
              <w:rPr>
                <w:sz w:val="22"/>
                <w:szCs w:val="22"/>
              </w:rPr>
              <w:t>Civil Service Pensions NI – FPS911</w:t>
            </w:r>
            <w:r w:rsidR="000067BD" w:rsidRPr="003A55AB">
              <w:rPr>
                <w:sz w:val="22"/>
                <w:szCs w:val="22"/>
              </w:rPr>
              <w:t>. (NB: NILGOSC is outside the reporting boundary)</w:t>
            </w:r>
          </w:p>
          <w:p w14:paraId="40597C6B" w14:textId="51DCDFD4" w:rsidR="000B6A69" w:rsidRPr="003A55AB" w:rsidRDefault="000B6A69" w:rsidP="003A55AB">
            <w:pPr>
              <w:pStyle w:val="BodyTextIndent2"/>
              <w:ind w:left="720"/>
              <w:jc w:val="left"/>
              <w:rPr>
                <w:sz w:val="22"/>
                <w:szCs w:val="22"/>
              </w:rPr>
            </w:pPr>
          </w:p>
        </w:tc>
        <w:tc>
          <w:tcPr>
            <w:tcW w:w="1538" w:type="dxa"/>
          </w:tcPr>
          <w:p w14:paraId="4406DCA7" w14:textId="77777777" w:rsidR="00B20380" w:rsidRPr="003A55AB" w:rsidRDefault="00B20380" w:rsidP="00DD3390">
            <w:pPr>
              <w:pStyle w:val="BodyTextIndent2"/>
              <w:ind w:left="0"/>
              <w:rPr>
                <w:sz w:val="22"/>
                <w:szCs w:val="22"/>
              </w:rPr>
            </w:pPr>
          </w:p>
        </w:tc>
        <w:tc>
          <w:tcPr>
            <w:tcW w:w="3998" w:type="dxa"/>
          </w:tcPr>
          <w:p w14:paraId="3502A820" w14:textId="77777777" w:rsidR="00B20380" w:rsidRPr="003A55AB" w:rsidRDefault="00B20380" w:rsidP="00DD3390">
            <w:pPr>
              <w:pStyle w:val="BodyTextIndent2"/>
              <w:ind w:left="0"/>
              <w:rPr>
                <w:sz w:val="22"/>
                <w:szCs w:val="22"/>
              </w:rPr>
            </w:pPr>
          </w:p>
        </w:tc>
      </w:tr>
      <w:tr w:rsidR="00B20380" w:rsidRPr="00FB0CFC" w14:paraId="15E88981" w14:textId="77777777" w:rsidTr="003A55AB">
        <w:trPr>
          <w:trHeight w:val="540"/>
        </w:trPr>
        <w:tc>
          <w:tcPr>
            <w:tcW w:w="10114" w:type="dxa"/>
            <w:vAlign w:val="center"/>
          </w:tcPr>
          <w:p w14:paraId="561650D9" w14:textId="77777777" w:rsidR="000B6A69" w:rsidRDefault="00B20380" w:rsidP="000B6A69">
            <w:pPr>
              <w:pStyle w:val="BodyTextIndent2"/>
              <w:numPr>
                <w:ilvl w:val="0"/>
                <w:numId w:val="4"/>
              </w:numPr>
              <w:rPr>
                <w:sz w:val="22"/>
                <w:szCs w:val="22"/>
              </w:rPr>
            </w:pPr>
            <w:r w:rsidRPr="003A55AB">
              <w:rPr>
                <w:sz w:val="22"/>
                <w:szCs w:val="22"/>
              </w:rPr>
              <w:t xml:space="preserve">Other </w:t>
            </w:r>
            <w:r w:rsidRPr="003A55AB">
              <w:rPr>
                <w:sz w:val="22"/>
                <w:szCs w:val="22"/>
                <w:u w:val="single"/>
              </w:rPr>
              <w:t>taxation and social security</w:t>
            </w:r>
            <w:r w:rsidRPr="003A55AB">
              <w:rPr>
                <w:sz w:val="22"/>
                <w:szCs w:val="22"/>
              </w:rPr>
              <w:t xml:space="preserve"> debtors and creditors have been coded to CPID IRT813 (HM Revenue and Customs taxes and duties). The code HMR041 (HM Revenue and Customs) should only be used in exceptional circumstances for non-tax purposes.</w:t>
            </w:r>
          </w:p>
          <w:p w14:paraId="785DAB5A" w14:textId="6C48196A" w:rsidR="000B6A69" w:rsidRPr="003A55AB" w:rsidRDefault="000B6A69" w:rsidP="003A55AB">
            <w:pPr>
              <w:pStyle w:val="BodyTextIndent2"/>
              <w:ind w:left="357"/>
              <w:rPr>
                <w:sz w:val="22"/>
                <w:szCs w:val="22"/>
              </w:rPr>
            </w:pPr>
          </w:p>
        </w:tc>
        <w:tc>
          <w:tcPr>
            <w:tcW w:w="1538" w:type="dxa"/>
          </w:tcPr>
          <w:p w14:paraId="3C839F0C" w14:textId="77777777" w:rsidR="00B20380" w:rsidRPr="003A55AB" w:rsidRDefault="00B20380" w:rsidP="00DD3390">
            <w:pPr>
              <w:pStyle w:val="BodyTextIndent2"/>
              <w:ind w:left="0"/>
              <w:rPr>
                <w:sz w:val="22"/>
                <w:szCs w:val="22"/>
              </w:rPr>
            </w:pPr>
          </w:p>
        </w:tc>
        <w:tc>
          <w:tcPr>
            <w:tcW w:w="3998" w:type="dxa"/>
          </w:tcPr>
          <w:p w14:paraId="696D01BC" w14:textId="77777777" w:rsidR="00B20380" w:rsidRPr="003A55AB" w:rsidRDefault="00B20380" w:rsidP="00DD3390">
            <w:pPr>
              <w:pStyle w:val="BodyTextIndent2"/>
              <w:ind w:left="0"/>
              <w:rPr>
                <w:sz w:val="22"/>
                <w:szCs w:val="22"/>
              </w:rPr>
            </w:pPr>
          </w:p>
        </w:tc>
      </w:tr>
      <w:tr w:rsidR="00B20380" w:rsidRPr="00FB0CFC" w14:paraId="28720BE9" w14:textId="77777777" w:rsidTr="003A55AB">
        <w:trPr>
          <w:trHeight w:val="654"/>
        </w:trPr>
        <w:tc>
          <w:tcPr>
            <w:tcW w:w="10114" w:type="dxa"/>
            <w:vAlign w:val="center"/>
          </w:tcPr>
          <w:p w14:paraId="14EFC52D" w14:textId="65B156F0" w:rsidR="00B20380" w:rsidRPr="003A55AB" w:rsidRDefault="00B20380" w:rsidP="00DD3390">
            <w:pPr>
              <w:pStyle w:val="BodyTextIndent2"/>
              <w:numPr>
                <w:ilvl w:val="0"/>
                <w:numId w:val="4"/>
              </w:numPr>
              <w:rPr>
                <w:sz w:val="22"/>
                <w:szCs w:val="22"/>
              </w:rPr>
            </w:pPr>
            <w:r w:rsidRPr="003A55AB">
              <w:rPr>
                <w:sz w:val="22"/>
                <w:szCs w:val="22"/>
              </w:rPr>
              <w:t xml:space="preserve">Have CPIDs been entered for the following bodies?  If </w:t>
            </w:r>
            <w:r w:rsidR="00544B41" w:rsidRPr="003A55AB">
              <w:rPr>
                <w:sz w:val="22"/>
                <w:szCs w:val="22"/>
              </w:rPr>
              <w:t>not,</w:t>
            </w:r>
            <w:r w:rsidRPr="003A55AB">
              <w:rPr>
                <w:sz w:val="22"/>
                <w:szCs w:val="22"/>
              </w:rPr>
              <w:t xml:space="preserve"> please explain.</w:t>
            </w:r>
          </w:p>
          <w:p w14:paraId="531FC5B1" w14:textId="2407762E" w:rsidR="00EE7E38" w:rsidRPr="003A55AB" w:rsidRDefault="00B20380" w:rsidP="00B20380">
            <w:pPr>
              <w:pStyle w:val="BodyTextIndent2"/>
              <w:numPr>
                <w:ilvl w:val="0"/>
                <w:numId w:val="10"/>
              </w:numPr>
              <w:ind w:left="709" w:hanging="283"/>
              <w:rPr>
                <w:sz w:val="22"/>
                <w:szCs w:val="22"/>
              </w:rPr>
            </w:pPr>
            <w:r w:rsidRPr="003A55AB">
              <w:rPr>
                <w:sz w:val="22"/>
                <w:szCs w:val="22"/>
              </w:rPr>
              <w:t xml:space="preserve">Department for Communities </w:t>
            </w:r>
          </w:p>
          <w:p w14:paraId="681752C9" w14:textId="77777777" w:rsidR="000B6A69" w:rsidRDefault="00B20380" w:rsidP="000B6A69">
            <w:pPr>
              <w:pStyle w:val="BodyTextIndent2"/>
              <w:numPr>
                <w:ilvl w:val="0"/>
                <w:numId w:val="10"/>
              </w:numPr>
              <w:ind w:left="709" w:hanging="283"/>
              <w:rPr>
                <w:sz w:val="22"/>
                <w:szCs w:val="22"/>
              </w:rPr>
            </w:pPr>
            <w:r w:rsidRPr="003A55AB">
              <w:rPr>
                <w:sz w:val="22"/>
                <w:szCs w:val="22"/>
              </w:rPr>
              <w:t>Northern Ireland Consolidated Fund</w:t>
            </w:r>
          </w:p>
          <w:p w14:paraId="43A3EB1A" w14:textId="6027EE26" w:rsidR="000B6A69" w:rsidRPr="003A55AB" w:rsidRDefault="000B6A69" w:rsidP="003A55AB">
            <w:pPr>
              <w:pStyle w:val="BodyTextIndent2"/>
              <w:ind w:left="709"/>
              <w:rPr>
                <w:sz w:val="22"/>
                <w:szCs w:val="22"/>
              </w:rPr>
            </w:pPr>
          </w:p>
        </w:tc>
        <w:tc>
          <w:tcPr>
            <w:tcW w:w="1538" w:type="dxa"/>
          </w:tcPr>
          <w:p w14:paraId="027F1034" w14:textId="77777777" w:rsidR="00B20380" w:rsidRPr="003A55AB" w:rsidRDefault="00B20380" w:rsidP="00DD3390">
            <w:pPr>
              <w:pStyle w:val="BodyTextIndent2"/>
              <w:ind w:left="0"/>
              <w:rPr>
                <w:sz w:val="22"/>
                <w:szCs w:val="22"/>
              </w:rPr>
            </w:pPr>
          </w:p>
        </w:tc>
        <w:tc>
          <w:tcPr>
            <w:tcW w:w="3998" w:type="dxa"/>
          </w:tcPr>
          <w:p w14:paraId="2EC075C0" w14:textId="198F3147" w:rsidR="00B20380" w:rsidRPr="003A55AB" w:rsidRDefault="00B20380" w:rsidP="00DD3390">
            <w:pPr>
              <w:pStyle w:val="BodyTextIndent2"/>
              <w:ind w:left="0"/>
              <w:rPr>
                <w:sz w:val="22"/>
                <w:szCs w:val="22"/>
              </w:rPr>
            </w:pPr>
            <w:r w:rsidRPr="003A55AB">
              <w:rPr>
                <w:sz w:val="22"/>
                <w:szCs w:val="22"/>
              </w:rPr>
              <w:t xml:space="preserve">If </w:t>
            </w:r>
            <w:r w:rsidR="00544B41" w:rsidRPr="003A55AB">
              <w:rPr>
                <w:sz w:val="22"/>
                <w:szCs w:val="22"/>
              </w:rPr>
              <w:t>not,</w:t>
            </w:r>
            <w:r w:rsidRPr="003A55AB">
              <w:rPr>
                <w:sz w:val="22"/>
                <w:szCs w:val="22"/>
              </w:rPr>
              <w:t xml:space="preserve"> please explain:</w:t>
            </w:r>
          </w:p>
        </w:tc>
      </w:tr>
      <w:tr w:rsidR="00B20380" w:rsidRPr="00FB0CFC" w14:paraId="0E54E2A0" w14:textId="77777777" w:rsidTr="003A55AB">
        <w:trPr>
          <w:trHeight w:val="833"/>
        </w:trPr>
        <w:tc>
          <w:tcPr>
            <w:tcW w:w="10114" w:type="dxa"/>
            <w:vAlign w:val="center"/>
          </w:tcPr>
          <w:p w14:paraId="09477C32" w14:textId="77777777" w:rsidR="00B20380" w:rsidRPr="003A55AB" w:rsidRDefault="00B20380" w:rsidP="000B6A69">
            <w:pPr>
              <w:pStyle w:val="BodyTextIndent2"/>
              <w:numPr>
                <w:ilvl w:val="0"/>
                <w:numId w:val="4"/>
              </w:numPr>
              <w:rPr>
                <w:b/>
                <w:sz w:val="22"/>
                <w:szCs w:val="22"/>
              </w:rPr>
            </w:pPr>
            <w:r w:rsidRPr="003A55AB">
              <w:rPr>
                <w:sz w:val="22"/>
                <w:szCs w:val="22"/>
              </w:rPr>
              <w:t xml:space="preserve">Where CPIDs have been entered for balance sheet items, it is expected that the same CPIDs will also be entered for the corresponding income and expenditure items.  Ensure balance sheet CPIDs appear for income and </w:t>
            </w:r>
            <w:proofErr w:type="gramStart"/>
            <w:r w:rsidRPr="003A55AB">
              <w:rPr>
                <w:sz w:val="22"/>
                <w:szCs w:val="22"/>
              </w:rPr>
              <w:t>expenditure, or</w:t>
            </w:r>
            <w:proofErr w:type="gramEnd"/>
            <w:r w:rsidRPr="003A55AB">
              <w:rPr>
                <w:sz w:val="22"/>
                <w:szCs w:val="22"/>
              </w:rPr>
              <w:t xml:space="preserve"> explain why it is not appropriate.</w:t>
            </w:r>
          </w:p>
          <w:p w14:paraId="3A3FB639" w14:textId="77777777" w:rsidR="000B6A69" w:rsidRPr="003A55AB" w:rsidDel="00D638E8" w:rsidRDefault="000B6A69" w:rsidP="003A55AB">
            <w:pPr>
              <w:pStyle w:val="BodyTextIndent2"/>
              <w:ind w:left="357"/>
              <w:rPr>
                <w:b/>
                <w:sz w:val="22"/>
                <w:szCs w:val="22"/>
              </w:rPr>
            </w:pPr>
          </w:p>
        </w:tc>
        <w:tc>
          <w:tcPr>
            <w:tcW w:w="1538" w:type="dxa"/>
          </w:tcPr>
          <w:p w14:paraId="393E749C" w14:textId="77777777" w:rsidR="00B20380" w:rsidRPr="003A55AB" w:rsidDel="00D638E8" w:rsidRDefault="00B20380" w:rsidP="00DD3390">
            <w:pPr>
              <w:jc w:val="both"/>
              <w:rPr>
                <w:rFonts w:ascii="Arial" w:hAnsi="Arial" w:cs="Arial"/>
                <w:sz w:val="22"/>
                <w:szCs w:val="22"/>
              </w:rPr>
            </w:pPr>
          </w:p>
        </w:tc>
        <w:tc>
          <w:tcPr>
            <w:tcW w:w="3998" w:type="dxa"/>
          </w:tcPr>
          <w:p w14:paraId="71957921" w14:textId="06B2C8A6" w:rsidR="00B20380" w:rsidRPr="003A55AB" w:rsidDel="00D638E8" w:rsidRDefault="00B20380" w:rsidP="00DD3390">
            <w:pPr>
              <w:jc w:val="both"/>
              <w:rPr>
                <w:rFonts w:ascii="Arial" w:hAnsi="Arial" w:cs="Arial"/>
                <w:sz w:val="22"/>
                <w:szCs w:val="22"/>
              </w:rPr>
            </w:pPr>
            <w:r w:rsidRPr="003A55AB">
              <w:rPr>
                <w:rFonts w:ascii="Arial" w:hAnsi="Arial" w:cs="Arial"/>
                <w:sz w:val="22"/>
                <w:szCs w:val="22"/>
              </w:rPr>
              <w:t xml:space="preserve">If </w:t>
            </w:r>
            <w:r w:rsidR="00544B41" w:rsidRPr="003A55AB">
              <w:rPr>
                <w:rFonts w:ascii="Arial" w:hAnsi="Arial" w:cs="Arial"/>
                <w:sz w:val="22"/>
                <w:szCs w:val="22"/>
              </w:rPr>
              <w:t>not,</w:t>
            </w:r>
            <w:r w:rsidRPr="003A55AB">
              <w:rPr>
                <w:rFonts w:ascii="Arial" w:hAnsi="Arial" w:cs="Arial"/>
                <w:sz w:val="22"/>
                <w:szCs w:val="22"/>
              </w:rPr>
              <w:t xml:space="preserve"> please explain:</w:t>
            </w:r>
          </w:p>
        </w:tc>
      </w:tr>
      <w:tr w:rsidR="00B20380" w:rsidRPr="00FB0CFC" w14:paraId="3227F1CA" w14:textId="77777777" w:rsidTr="003A55AB">
        <w:trPr>
          <w:trHeight w:val="1556"/>
        </w:trPr>
        <w:tc>
          <w:tcPr>
            <w:tcW w:w="10114" w:type="dxa"/>
            <w:vAlign w:val="center"/>
          </w:tcPr>
          <w:p w14:paraId="6986BC82" w14:textId="4C36547B" w:rsidR="00B20380" w:rsidRPr="003A55AB" w:rsidRDefault="00B20380" w:rsidP="00DD3390">
            <w:pPr>
              <w:pStyle w:val="BodyTextIndent2"/>
              <w:numPr>
                <w:ilvl w:val="0"/>
                <w:numId w:val="4"/>
              </w:numPr>
              <w:rPr>
                <w:sz w:val="22"/>
                <w:szCs w:val="22"/>
              </w:rPr>
            </w:pPr>
            <w:r w:rsidRPr="003A55AB">
              <w:rPr>
                <w:sz w:val="22"/>
                <w:szCs w:val="22"/>
              </w:rPr>
              <w:lastRenderedPageBreak/>
              <w:t>“CPID Transactions” tab has been reviewed and there are no unexplained validation issues.  For example:</w:t>
            </w:r>
          </w:p>
          <w:p w14:paraId="70FAC3C1" w14:textId="4F179BF0" w:rsidR="00B20380" w:rsidRPr="003A55AB" w:rsidRDefault="00B20380" w:rsidP="00DD3390">
            <w:pPr>
              <w:pStyle w:val="BodyTextIndent2"/>
              <w:ind w:left="357"/>
              <w:rPr>
                <w:sz w:val="22"/>
                <w:szCs w:val="22"/>
              </w:rPr>
            </w:pPr>
            <w:r w:rsidRPr="003A55AB">
              <w:rPr>
                <w:sz w:val="22"/>
                <w:szCs w:val="22"/>
                <w:u w:val="single"/>
              </w:rPr>
              <w:t>Correct sign</w:t>
            </w:r>
            <w:r w:rsidRPr="003A55AB">
              <w:rPr>
                <w:sz w:val="22"/>
                <w:szCs w:val="22"/>
              </w:rPr>
              <w:t xml:space="preserve"> –</w:t>
            </w:r>
            <w:r w:rsidR="001E3913" w:rsidRPr="003A55AB">
              <w:rPr>
                <w:sz w:val="22"/>
                <w:szCs w:val="22"/>
              </w:rPr>
              <w:t xml:space="preserve"> </w:t>
            </w:r>
            <w:r w:rsidRPr="003A55AB">
              <w:rPr>
                <w:sz w:val="22"/>
                <w:szCs w:val="22"/>
              </w:rPr>
              <w:t>positive for expenditure &amp; assets; negative for income &amp; liabilities</w:t>
            </w:r>
          </w:p>
          <w:p w14:paraId="5F34BEF8" w14:textId="7386B2DC" w:rsidR="00B20380" w:rsidRPr="003A55AB" w:rsidRDefault="00B20380" w:rsidP="00DD3390">
            <w:pPr>
              <w:pStyle w:val="BodyTextIndent2"/>
              <w:ind w:left="357"/>
              <w:rPr>
                <w:sz w:val="22"/>
                <w:szCs w:val="22"/>
              </w:rPr>
            </w:pPr>
            <w:r w:rsidRPr="003A55AB">
              <w:rPr>
                <w:sz w:val="22"/>
                <w:szCs w:val="22"/>
                <w:u w:val="single"/>
              </w:rPr>
              <w:t>Over-allocation</w:t>
            </w:r>
            <w:r w:rsidRPr="003A55AB">
              <w:rPr>
                <w:sz w:val="22"/>
                <w:szCs w:val="22"/>
              </w:rPr>
              <w:t xml:space="preserve"> – the total value of CPIDs disclosed for an account line do not exceed the value of the account line.  This is a ‘hard’ validation in </w:t>
            </w:r>
            <w:r w:rsidR="003C7A02">
              <w:rPr>
                <w:sz w:val="22"/>
                <w:szCs w:val="22"/>
              </w:rPr>
              <w:t>OSCAR</w:t>
            </w:r>
            <w:r w:rsidRPr="003A55AB">
              <w:rPr>
                <w:sz w:val="22"/>
                <w:szCs w:val="22"/>
              </w:rPr>
              <w:t>.</w:t>
            </w:r>
          </w:p>
          <w:p w14:paraId="121CE4EB" w14:textId="77777777" w:rsidR="00B20380" w:rsidRDefault="00B20380" w:rsidP="00DD3390">
            <w:pPr>
              <w:pStyle w:val="BodyTextIndent2"/>
              <w:ind w:left="357"/>
              <w:rPr>
                <w:sz w:val="22"/>
                <w:szCs w:val="22"/>
              </w:rPr>
            </w:pPr>
            <w:r w:rsidRPr="003A55AB">
              <w:rPr>
                <w:sz w:val="22"/>
                <w:szCs w:val="22"/>
                <w:u w:val="single"/>
              </w:rPr>
              <w:t>Under-allocation</w:t>
            </w:r>
            <w:r w:rsidRPr="003A55AB">
              <w:rPr>
                <w:sz w:val="22"/>
                <w:szCs w:val="22"/>
              </w:rPr>
              <w:t xml:space="preserve"> – sufficient CPID disclosure has been completed for an account line used for intra-government transactions.</w:t>
            </w:r>
          </w:p>
          <w:p w14:paraId="058F13AD" w14:textId="77777777" w:rsidR="000B6A69" w:rsidRPr="003A55AB" w:rsidRDefault="000B6A69" w:rsidP="003A55AB">
            <w:pPr>
              <w:pStyle w:val="BodyTextIndent2"/>
              <w:ind w:left="0"/>
              <w:rPr>
                <w:sz w:val="22"/>
                <w:szCs w:val="22"/>
              </w:rPr>
            </w:pPr>
          </w:p>
        </w:tc>
        <w:tc>
          <w:tcPr>
            <w:tcW w:w="1538" w:type="dxa"/>
          </w:tcPr>
          <w:p w14:paraId="5CF296AF" w14:textId="77777777" w:rsidR="00B20380" w:rsidRPr="003A55AB" w:rsidRDefault="00B20380" w:rsidP="00DD3390">
            <w:pPr>
              <w:pStyle w:val="BodyTextIndent2"/>
              <w:ind w:left="0"/>
              <w:rPr>
                <w:sz w:val="22"/>
                <w:szCs w:val="22"/>
              </w:rPr>
            </w:pPr>
          </w:p>
        </w:tc>
        <w:tc>
          <w:tcPr>
            <w:tcW w:w="3998" w:type="dxa"/>
          </w:tcPr>
          <w:p w14:paraId="4278DFA1" w14:textId="77777777" w:rsidR="00B20380" w:rsidRPr="003A55AB" w:rsidRDefault="00B20380" w:rsidP="00DD3390">
            <w:pPr>
              <w:pStyle w:val="BodyTextIndent2"/>
              <w:ind w:left="0"/>
              <w:rPr>
                <w:sz w:val="22"/>
                <w:szCs w:val="22"/>
              </w:rPr>
            </w:pPr>
          </w:p>
        </w:tc>
      </w:tr>
      <w:tr w:rsidR="003E6279" w:rsidRPr="00FB0CFC" w14:paraId="1D973076" w14:textId="77777777" w:rsidTr="00702248">
        <w:trPr>
          <w:trHeight w:val="1430"/>
        </w:trPr>
        <w:tc>
          <w:tcPr>
            <w:tcW w:w="10114" w:type="dxa"/>
            <w:vAlign w:val="center"/>
          </w:tcPr>
          <w:p w14:paraId="241B02AD" w14:textId="5A9C2746" w:rsidR="003E6279" w:rsidRDefault="003E6279" w:rsidP="00DD3390">
            <w:pPr>
              <w:pStyle w:val="BodyTextIndent2"/>
              <w:numPr>
                <w:ilvl w:val="0"/>
                <w:numId w:val="4"/>
              </w:numPr>
              <w:rPr>
                <w:sz w:val="22"/>
                <w:szCs w:val="22"/>
              </w:rPr>
            </w:pPr>
            <w:r>
              <w:rPr>
                <w:sz w:val="22"/>
                <w:szCs w:val="22"/>
              </w:rPr>
              <w:t xml:space="preserve">The following </w:t>
            </w:r>
            <w:r w:rsidR="00801B4B">
              <w:rPr>
                <w:sz w:val="22"/>
                <w:szCs w:val="22"/>
              </w:rPr>
              <w:t xml:space="preserve">two </w:t>
            </w:r>
            <w:r>
              <w:rPr>
                <w:sz w:val="22"/>
                <w:szCs w:val="22"/>
              </w:rPr>
              <w:t>Audit Reports have been run in OSCAR and attached to this Management Review Checklist for sending to the DoF WGA team:</w:t>
            </w:r>
          </w:p>
          <w:p w14:paraId="2A02A9B6" w14:textId="65BDE14A" w:rsidR="003E6279" w:rsidRDefault="003E6279" w:rsidP="00801B4B">
            <w:pPr>
              <w:pStyle w:val="BodyTextIndent2"/>
              <w:numPr>
                <w:ilvl w:val="0"/>
                <w:numId w:val="15"/>
              </w:numPr>
              <w:rPr>
                <w:sz w:val="22"/>
                <w:szCs w:val="22"/>
              </w:rPr>
            </w:pPr>
            <w:r>
              <w:rPr>
                <w:sz w:val="22"/>
                <w:szCs w:val="22"/>
              </w:rPr>
              <w:t>Local Government – Non CPID Transaction Report (No Previous Year Data)</w:t>
            </w:r>
          </w:p>
          <w:p w14:paraId="7D21A432" w14:textId="77777777" w:rsidR="003E6279" w:rsidRDefault="003E6279" w:rsidP="00801B4B">
            <w:pPr>
              <w:pStyle w:val="BodyTextIndent2"/>
              <w:numPr>
                <w:ilvl w:val="0"/>
                <w:numId w:val="15"/>
              </w:numPr>
              <w:rPr>
                <w:sz w:val="22"/>
                <w:szCs w:val="22"/>
              </w:rPr>
            </w:pPr>
            <w:r>
              <w:rPr>
                <w:sz w:val="22"/>
                <w:szCs w:val="22"/>
              </w:rPr>
              <w:t>Local Government – CPID Transaction Report only (No Previous Year Data)</w:t>
            </w:r>
          </w:p>
          <w:p w14:paraId="75E827EE" w14:textId="01B0BBD9" w:rsidR="00801B4B" w:rsidRPr="003A55AB" w:rsidRDefault="00801B4B" w:rsidP="00702248">
            <w:pPr>
              <w:pStyle w:val="BodyTextIndent2"/>
              <w:ind w:left="0"/>
              <w:rPr>
                <w:sz w:val="22"/>
                <w:szCs w:val="22"/>
              </w:rPr>
            </w:pPr>
          </w:p>
        </w:tc>
        <w:tc>
          <w:tcPr>
            <w:tcW w:w="1538" w:type="dxa"/>
          </w:tcPr>
          <w:p w14:paraId="6650BBAA" w14:textId="77777777" w:rsidR="003E6279" w:rsidRPr="003A55AB" w:rsidRDefault="003E6279" w:rsidP="00DD3390">
            <w:pPr>
              <w:pStyle w:val="BodyTextIndent2"/>
              <w:ind w:left="0"/>
              <w:rPr>
                <w:sz w:val="22"/>
                <w:szCs w:val="22"/>
              </w:rPr>
            </w:pPr>
          </w:p>
        </w:tc>
        <w:tc>
          <w:tcPr>
            <w:tcW w:w="3998" w:type="dxa"/>
          </w:tcPr>
          <w:p w14:paraId="423C47B1" w14:textId="77777777" w:rsidR="003E6279" w:rsidRPr="003A55AB" w:rsidRDefault="003E6279" w:rsidP="00DD3390">
            <w:pPr>
              <w:pStyle w:val="BodyTextIndent2"/>
              <w:ind w:left="0"/>
              <w:rPr>
                <w:sz w:val="22"/>
                <w:szCs w:val="22"/>
              </w:rPr>
            </w:pPr>
          </w:p>
        </w:tc>
      </w:tr>
      <w:tr w:rsidR="003E6279" w:rsidRPr="00FB0CFC" w14:paraId="322442E7" w14:textId="77777777" w:rsidTr="00702248">
        <w:trPr>
          <w:trHeight w:val="1267"/>
        </w:trPr>
        <w:tc>
          <w:tcPr>
            <w:tcW w:w="10114" w:type="dxa"/>
            <w:vAlign w:val="center"/>
          </w:tcPr>
          <w:p w14:paraId="18537A93" w14:textId="77777777" w:rsidR="003E6279" w:rsidRDefault="00801B4B" w:rsidP="00801B4B">
            <w:pPr>
              <w:pStyle w:val="BodyTextIndent2"/>
              <w:numPr>
                <w:ilvl w:val="0"/>
                <w:numId w:val="4"/>
              </w:numPr>
              <w:rPr>
                <w:sz w:val="22"/>
                <w:szCs w:val="22"/>
              </w:rPr>
            </w:pPr>
            <w:r w:rsidRPr="00801B4B">
              <w:rPr>
                <w:sz w:val="22"/>
                <w:szCs w:val="22"/>
              </w:rPr>
              <w:t>A PDF (or Word if PDF is not available) copy of the draft or audited statutory accounts upon which</w:t>
            </w:r>
            <w:r>
              <w:rPr>
                <w:sz w:val="22"/>
                <w:szCs w:val="22"/>
              </w:rPr>
              <w:t xml:space="preserve"> </w:t>
            </w:r>
            <w:r w:rsidRPr="00801B4B">
              <w:rPr>
                <w:sz w:val="22"/>
                <w:szCs w:val="22"/>
              </w:rPr>
              <w:t xml:space="preserve">this DCT submission has been based has been attached to this </w:t>
            </w:r>
            <w:r>
              <w:rPr>
                <w:sz w:val="22"/>
                <w:szCs w:val="22"/>
              </w:rPr>
              <w:t>Management Review Checklist</w:t>
            </w:r>
            <w:r w:rsidRPr="00801B4B">
              <w:rPr>
                <w:sz w:val="22"/>
                <w:szCs w:val="22"/>
              </w:rPr>
              <w:t xml:space="preserve"> and will be sent to </w:t>
            </w:r>
            <w:r>
              <w:rPr>
                <w:sz w:val="22"/>
                <w:szCs w:val="22"/>
              </w:rPr>
              <w:t>the DoF WGA team</w:t>
            </w:r>
            <w:r w:rsidRPr="00801B4B">
              <w:rPr>
                <w:sz w:val="22"/>
                <w:szCs w:val="22"/>
              </w:rPr>
              <w:t xml:space="preserve"> with this form</w:t>
            </w:r>
            <w:r>
              <w:rPr>
                <w:sz w:val="22"/>
                <w:szCs w:val="22"/>
              </w:rPr>
              <w:t>.</w:t>
            </w:r>
          </w:p>
          <w:p w14:paraId="781DF0F3" w14:textId="52725354" w:rsidR="00801B4B" w:rsidRPr="00801B4B" w:rsidRDefault="00801B4B" w:rsidP="00702248">
            <w:pPr>
              <w:pStyle w:val="BodyTextIndent2"/>
              <w:ind w:left="357"/>
              <w:rPr>
                <w:sz w:val="22"/>
                <w:szCs w:val="22"/>
              </w:rPr>
            </w:pPr>
          </w:p>
        </w:tc>
        <w:tc>
          <w:tcPr>
            <w:tcW w:w="1538" w:type="dxa"/>
          </w:tcPr>
          <w:p w14:paraId="2FB18427" w14:textId="77777777" w:rsidR="003E6279" w:rsidRPr="003A55AB" w:rsidRDefault="003E6279" w:rsidP="00DD3390">
            <w:pPr>
              <w:pStyle w:val="BodyTextIndent2"/>
              <w:ind w:left="0"/>
              <w:rPr>
                <w:sz w:val="22"/>
                <w:szCs w:val="22"/>
              </w:rPr>
            </w:pPr>
          </w:p>
        </w:tc>
        <w:tc>
          <w:tcPr>
            <w:tcW w:w="3998" w:type="dxa"/>
          </w:tcPr>
          <w:p w14:paraId="482798F8" w14:textId="77777777" w:rsidR="003E6279" w:rsidRPr="003A55AB" w:rsidRDefault="003E6279" w:rsidP="00DD3390">
            <w:pPr>
              <w:pStyle w:val="BodyTextIndent2"/>
              <w:ind w:left="0"/>
              <w:rPr>
                <w:sz w:val="22"/>
                <w:szCs w:val="22"/>
              </w:rPr>
            </w:pPr>
          </w:p>
        </w:tc>
      </w:tr>
    </w:tbl>
    <w:p w14:paraId="4173A51B" w14:textId="77777777" w:rsidR="00D77D18" w:rsidRPr="00FB0CFC" w:rsidRDefault="00D77D18" w:rsidP="00555E72"/>
    <w:sectPr w:rsidR="00D77D18" w:rsidRPr="00FB0CFC" w:rsidSect="009F2C4C">
      <w:pgSz w:w="16838" w:h="11906" w:orient="landscape" w:code="9"/>
      <w:pgMar w:top="568" w:right="567" w:bottom="567" w:left="567" w:header="709" w:footer="4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13D53" w14:textId="77777777" w:rsidR="008265E4" w:rsidRDefault="008265E4" w:rsidP="00E50E8E">
      <w:r>
        <w:separator/>
      </w:r>
    </w:p>
  </w:endnote>
  <w:endnote w:type="continuationSeparator" w:id="0">
    <w:p w14:paraId="004B29C0" w14:textId="77777777" w:rsidR="008265E4" w:rsidRDefault="008265E4" w:rsidP="00E50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umnst777 BT">
    <w:altName w:val="Lucida Sans Unicode"/>
    <w:charset w:val="00"/>
    <w:family w:val="swiss"/>
    <w:pitch w:val="variable"/>
    <w:sig w:usb0="800000AF" w:usb1="1000204A" w:usb2="00000000" w:usb3="00000000" w:csb0="0000001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8BE95" w14:textId="77777777" w:rsidR="007B1746" w:rsidRDefault="007B1746" w:rsidP="00B8543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A5741" w14:textId="77777777" w:rsidR="007B1746" w:rsidRDefault="007B1746" w:rsidP="00B8543D">
    <w:pPr>
      <w:pStyle w:val="Footer"/>
      <w:jc w:val="center"/>
      <w:rPr>
        <w:sz w:val="20"/>
      </w:rPr>
    </w:pPr>
  </w:p>
  <w:p w14:paraId="433242DD" w14:textId="7FBE2C25" w:rsidR="007B1746" w:rsidRPr="009F2C4C" w:rsidRDefault="007B1746" w:rsidP="00B8543D">
    <w:pPr>
      <w:pStyle w:val="Footer"/>
      <w:jc w:val="center"/>
      <w:rPr>
        <w:sz w:val="20"/>
      </w:rPr>
    </w:pPr>
    <w:r w:rsidRPr="009F2C4C">
      <w:rPr>
        <w:sz w:val="20"/>
      </w:rPr>
      <w:fldChar w:fldCharType="begin"/>
    </w:r>
    <w:r w:rsidRPr="009F2C4C">
      <w:rPr>
        <w:sz w:val="20"/>
      </w:rPr>
      <w:instrText xml:space="preserve"> PAGE   \* MERGEFORMAT </w:instrText>
    </w:r>
    <w:r w:rsidRPr="009F2C4C">
      <w:rPr>
        <w:sz w:val="20"/>
      </w:rPr>
      <w:fldChar w:fldCharType="separate"/>
    </w:r>
    <w:r w:rsidR="009E3608">
      <w:rPr>
        <w:noProof/>
        <w:sz w:val="20"/>
      </w:rPr>
      <w:t>4</w:t>
    </w:r>
    <w:r w:rsidRPr="009F2C4C">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3996E" w14:textId="77777777" w:rsidR="007B1746" w:rsidRDefault="007B1746" w:rsidP="00B8543D">
    <w:pPr>
      <w:pStyle w:val="Footer"/>
      <w:jc w:val="center"/>
      <w:rPr>
        <w:sz w:val="20"/>
      </w:rPr>
    </w:pPr>
  </w:p>
  <w:p w14:paraId="0D21BD9F" w14:textId="4991D2A8" w:rsidR="007B1746" w:rsidRPr="009F2C4C" w:rsidRDefault="007B1746" w:rsidP="00B8543D">
    <w:pPr>
      <w:pStyle w:val="Footer"/>
      <w:jc w:val="center"/>
      <w:rPr>
        <w:sz w:val="20"/>
      </w:rPr>
    </w:pPr>
    <w:r w:rsidRPr="009F2C4C">
      <w:rPr>
        <w:sz w:val="20"/>
      </w:rPr>
      <w:fldChar w:fldCharType="begin"/>
    </w:r>
    <w:r w:rsidRPr="009F2C4C">
      <w:rPr>
        <w:sz w:val="20"/>
      </w:rPr>
      <w:instrText xml:space="preserve"> PAGE  \* Arabic  \* MERGEFORMAT </w:instrText>
    </w:r>
    <w:r w:rsidRPr="009F2C4C">
      <w:rPr>
        <w:sz w:val="20"/>
      </w:rPr>
      <w:fldChar w:fldCharType="separate"/>
    </w:r>
    <w:r w:rsidR="009E3608">
      <w:rPr>
        <w:noProof/>
        <w:sz w:val="20"/>
      </w:rPr>
      <w:t>1</w:t>
    </w:r>
    <w:r w:rsidRPr="009F2C4C">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09BA9" w14:textId="77777777" w:rsidR="008265E4" w:rsidRDefault="008265E4" w:rsidP="00E50E8E">
      <w:r>
        <w:separator/>
      </w:r>
    </w:p>
  </w:footnote>
  <w:footnote w:type="continuationSeparator" w:id="0">
    <w:p w14:paraId="2D3A75CC" w14:textId="77777777" w:rsidR="008265E4" w:rsidRDefault="008265E4" w:rsidP="00E50E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CD0D6" w14:textId="77777777" w:rsidR="007B1746" w:rsidRDefault="007B1746" w:rsidP="00B8543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32F3E" w14:textId="678CCC9B" w:rsidR="007B1746" w:rsidRPr="003C1F5D" w:rsidRDefault="003C1F5D" w:rsidP="003C1F5D">
    <w:pPr>
      <w:pStyle w:val="Header"/>
      <w:spacing w:line="276" w:lineRule="auto"/>
      <w:jc w:val="center"/>
      <w:rPr>
        <w:i/>
      </w:rPr>
    </w:pPr>
    <w:r w:rsidRPr="009D4088">
      <w:rPr>
        <w:i/>
      </w:rPr>
      <w:t xml:space="preserve">WGA </w:t>
    </w:r>
    <w:r w:rsidR="00EE3D0D">
      <w:rPr>
        <w:i/>
      </w:rPr>
      <w:t>2025</w:t>
    </w:r>
    <w:r w:rsidR="007B27E9">
      <w:rPr>
        <w:i/>
      </w:rPr>
      <w:t>-</w:t>
    </w:r>
    <w:r w:rsidR="00EE3D0D">
      <w:rPr>
        <w:i/>
      </w:rPr>
      <w:t>26</w:t>
    </w:r>
    <w:r w:rsidR="00EE3D0D" w:rsidRPr="009D4088">
      <w:rPr>
        <w:i/>
      </w:rPr>
      <w:t xml:space="preserve"> </w:t>
    </w:r>
    <w:r w:rsidRPr="009D4088">
      <w:rPr>
        <w:i/>
      </w:rPr>
      <w:t>Management Review Checklist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C23BF" w14:textId="77777777" w:rsidR="007B1746" w:rsidRDefault="007B1746" w:rsidP="00B8543D">
    <w:pPr>
      <w:pStyle w:val="Header"/>
      <w:spacing w:line="276" w:lineRule="auto"/>
      <w:jc w:val="center"/>
      <w:rPr>
        <w:i/>
      </w:rPr>
    </w:pPr>
  </w:p>
  <w:p w14:paraId="12044835" w14:textId="50397655" w:rsidR="007B1746" w:rsidRPr="009F2C4C" w:rsidRDefault="007B1746" w:rsidP="00B8543D">
    <w:pPr>
      <w:pStyle w:val="Header"/>
      <w:spacing w:line="276" w:lineRule="auto"/>
      <w:jc w:val="center"/>
      <w:rPr>
        <w:i/>
      </w:rPr>
    </w:pPr>
    <w:r w:rsidRPr="009D4088">
      <w:rPr>
        <w:i/>
      </w:rPr>
      <w:t xml:space="preserve">WGA </w:t>
    </w:r>
    <w:r w:rsidR="00EE3D0D">
      <w:rPr>
        <w:i/>
      </w:rPr>
      <w:t>2025</w:t>
    </w:r>
    <w:r w:rsidR="00D714CD">
      <w:rPr>
        <w:i/>
      </w:rPr>
      <w:t>-</w:t>
    </w:r>
    <w:r w:rsidR="00EE3D0D">
      <w:rPr>
        <w:i/>
      </w:rPr>
      <w:t>26</w:t>
    </w:r>
    <w:r w:rsidR="00EE3D0D" w:rsidRPr="009D4088">
      <w:rPr>
        <w:i/>
      </w:rPr>
      <w:t xml:space="preserve"> </w:t>
    </w:r>
    <w:r w:rsidRPr="009D4088">
      <w:rPr>
        <w:i/>
      </w:rPr>
      <w:t>Management Review Checklist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76D7C"/>
    <w:multiLevelType w:val="hybridMultilevel"/>
    <w:tmpl w:val="FF060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B63B38"/>
    <w:multiLevelType w:val="hybridMultilevel"/>
    <w:tmpl w:val="1C76275A"/>
    <w:lvl w:ilvl="0" w:tplc="08090001">
      <w:start w:val="1"/>
      <w:numFmt w:val="bullet"/>
      <w:lvlText w:val=""/>
      <w:lvlJc w:val="left"/>
      <w:pPr>
        <w:ind w:left="357" w:hanging="357"/>
      </w:pPr>
      <w:rPr>
        <w:rFonts w:ascii="Symbol" w:hAnsi="Symbol" w:hint="default"/>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491851"/>
    <w:multiLevelType w:val="hybridMultilevel"/>
    <w:tmpl w:val="46D83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DB3C69"/>
    <w:multiLevelType w:val="hybridMultilevel"/>
    <w:tmpl w:val="8AB4C0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9475E9F"/>
    <w:multiLevelType w:val="hybridMultilevel"/>
    <w:tmpl w:val="6AAE1FB0"/>
    <w:lvl w:ilvl="0" w:tplc="0C821384">
      <w:start w:val="1"/>
      <w:numFmt w:val="decimal"/>
      <w:lvlText w:val="%1."/>
      <w:lvlJc w:val="left"/>
      <w:pPr>
        <w:ind w:left="357" w:hanging="357"/>
      </w:pPr>
      <w:rPr>
        <w:rFonts w:hint="default"/>
        <w:b w:val="0"/>
        <w:bCs/>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6203A2"/>
    <w:multiLevelType w:val="hybridMultilevel"/>
    <w:tmpl w:val="7D70AA84"/>
    <w:lvl w:ilvl="0" w:tplc="10200C5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1B2C7C"/>
    <w:multiLevelType w:val="hybridMultilevel"/>
    <w:tmpl w:val="9C586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6D39EE"/>
    <w:multiLevelType w:val="hybridMultilevel"/>
    <w:tmpl w:val="1D48D9BC"/>
    <w:lvl w:ilvl="0" w:tplc="08090001">
      <w:start w:val="1"/>
      <w:numFmt w:val="bullet"/>
      <w:lvlText w:val=""/>
      <w:lvlJc w:val="left"/>
      <w:pPr>
        <w:ind w:left="357" w:hanging="357"/>
      </w:pPr>
      <w:rPr>
        <w:rFonts w:ascii="Symbol" w:hAnsi="Symbol" w:hint="default"/>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DF2F88"/>
    <w:multiLevelType w:val="hybridMultilevel"/>
    <w:tmpl w:val="80CA3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463109"/>
    <w:multiLevelType w:val="hybridMultilevel"/>
    <w:tmpl w:val="C1FA0526"/>
    <w:lvl w:ilvl="0" w:tplc="6310D36C">
      <w:start w:val="1"/>
      <w:numFmt w:val="decimal"/>
      <w:lvlText w:val="%1."/>
      <w:lvlJc w:val="left"/>
      <w:pPr>
        <w:ind w:left="357" w:hanging="357"/>
      </w:pPr>
      <w:rPr>
        <w:rFonts w:hint="default"/>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6B4B88"/>
    <w:multiLevelType w:val="hybridMultilevel"/>
    <w:tmpl w:val="CB0283B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1" w15:restartNumberingAfterBreak="0">
    <w:nsid w:val="3AC72281"/>
    <w:multiLevelType w:val="hybridMultilevel"/>
    <w:tmpl w:val="E7DA259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C8755DD"/>
    <w:multiLevelType w:val="hybridMultilevel"/>
    <w:tmpl w:val="7912499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3" w15:restartNumberingAfterBreak="0">
    <w:nsid w:val="6DB17019"/>
    <w:multiLevelType w:val="hybridMultilevel"/>
    <w:tmpl w:val="97703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4A40BF"/>
    <w:multiLevelType w:val="hybridMultilevel"/>
    <w:tmpl w:val="302083C4"/>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num w:numId="1" w16cid:durableId="335499971">
    <w:abstractNumId w:val="11"/>
  </w:num>
  <w:num w:numId="2" w16cid:durableId="81220602">
    <w:abstractNumId w:val="0"/>
  </w:num>
  <w:num w:numId="3" w16cid:durableId="1399548116">
    <w:abstractNumId w:val="5"/>
  </w:num>
  <w:num w:numId="4" w16cid:durableId="1893496159">
    <w:abstractNumId w:val="4"/>
  </w:num>
  <w:num w:numId="5" w16cid:durableId="1500004382">
    <w:abstractNumId w:val="9"/>
  </w:num>
  <w:num w:numId="6" w16cid:durableId="271326364">
    <w:abstractNumId w:val="8"/>
  </w:num>
  <w:num w:numId="7" w16cid:durableId="272981024">
    <w:abstractNumId w:val="6"/>
  </w:num>
  <w:num w:numId="8" w16cid:durableId="1752002211">
    <w:abstractNumId w:val="12"/>
  </w:num>
  <w:num w:numId="9" w16cid:durableId="1143618748">
    <w:abstractNumId w:val="2"/>
  </w:num>
  <w:num w:numId="10" w16cid:durableId="370224344">
    <w:abstractNumId w:val="10"/>
  </w:num>
  <w:num w:numId="11" w16cid:durableId="2019386222">
    <w:abstractNumId w:val="3"/>
  </w:num>
  <w:num w:numId="12" w16cid:durableId="1726297371">
    <w:abstractNumId w:val="1"/>
  </w:num>
  <w:num w:numId="13" w16cid:durableId="1400439445">
    <w:abstractNumId w:val="7"/>
  </w:num>
  <w:num w:numId="14" w16cid:durableId="1345285522">
    <w:abstractNumId w:val="13"/>
  </w:num>
  <w:num w:numId="15" w16cid:durableId="1072119634">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C75"/>
    <w:rsid w:val="00001850"/>
    <w:rsid w:val="000067BD"/>
    <w:rsid w:val="00007C05"/>
    <w:rsid w:val="0002287A"/>
    <w:rsid w:val="00025C3E"/>
    <w:rsid w:val="00037DF3"/>
    <w:rsid w:val="000414A3"/>
    <w:rsid w:val="00044BEA"/>
    <w:rsid w:val="0006388A"/>
    <w:rsid w:val="0006416D"/>
    <w:rsid w:val="000754D3"/>
    <w:rsid w:val="000840BA"/>
    <w:rsid w:val="000955C5"/>
    <w:rsid w:val="000A4152"/>
    <w:rsid w:val="000B1F91"/>
    <w:rsid w:val="000B6A69"/>
    <w:rsid w:val="000C11B6"/>
    <w:rsid w:val="000C3D21"/>
    <w:rsid w:val="000C7977"/>
    <w:rsid w:val="000E4BC6"/>
    <w:rsid w:val="000E6160"/>
    <w:rsid w:val="000F266F"/>
    <w:rsid w:val="00100A28"/>
    <w:rsid w:val="001059C9"/>
    <w:rsid w:val="0011450B"/>
    <w:rsid w:val="001212BE"/>
    <w:rsid w:val="00124D03"/>
    <w:rsid w:val="00126A6D"/>
    <w:rsid w:val="00126D34"/>
    <w:rsid w:val="00141456"/>
    <w:rsid w:val="0014520D"/>
    <w:rsid w:val="00146C92"/>
    <w:rsid w:val="001475E7"/>
    <w:rsid w:val="001552F8"/>
    <w:rsid w:val="0017674D"/>
    <w:rsid w:val="0017766B"/>
    <w:rsid w:val="00185FEA"/>
    <w:rsid w:val="0018641F"/>
    <w:rsid w:val="001A3A33"/>
    <w:rsid w:val="001E1099"/>
    <w:rsid w:val="001E3913"/>
    <w:rsid w:val="001E4CB5"/>
    <w:rsid w:val="001E7CCA"/>
    <w:rsid w:val="001F28B6"/>
    <w:rsid w:val="001F698B"/>
    <w:rsid w:val="00201F23"/>
    <w:rsid w:val="002067B4"/>
    <w:rsid w:val="00214412"/>
    <w:rsid w:val="00223A7A"/>
    <w:rsid w:val="0022460F"/>
    <w:rsid w:val="002257B9"/>
    <w:rsid w:val="002308D2"/>
    <w:rsid w:val="00236097"/>
    <w:rsid w:val="002430D5"/>
    <w:rsid w:val="0025080D"/>
    <w:rsid w:val="00250B45"/>
    <w:rsid w:val="00262EF2"/>
    <w:rsid w:val="00273971"/>
    <w:rsid w:val="00294454"/>
    <w:rsid w:val="002C5D12"/>
    <w:rsid w:val="002C6D47"/>
    <w:rsid w:val="002D1975"/>
    <w:rsid w:val="002D3433"/>
    <w:rsid w:val="002F08D2"/>
    <w:rsid w:val="00310CDD"/>
    <w:rsid w:val="00312515"/>
    <w:rsid w:val="003238E2"/>
    <w:rsid w:val="00324387"/>
    <w:rsid w:val="00326F02"/>
    <w:rsid w:val="00346412"/>
    <w:rsid w:val="00350BCE"/>
    <w:rsid w:val="00351DC2"/>
    <w:rsid w:val="003579A4"/>
    <w:rsid w:val="00361789"/>
    <w:rsid w:val="00365CE5"/>
    <w:rsid w:val="0037131A"/>
    <w:rsid w:val="00377435"/>
    <w:rsid w:val="00391D68"/>
    <w:rsid w:val="003A4790"/>
    <w:rsid w:val="003A55AB"/>
    <w:rsid w:val="003A6E9F"/>
    <w:rsid w:val="003C1F5D"/>
    <w:rsid w:val="003C7A02"/>
    <w:rsid w:val="003D555B"/>
    <w:rsid w:val="003D63BD"/>
    <w:rsid w:val="003E38CE"/>
    <w:rsid w:val="003E447F"/>
    <w:rsid w:val="003E6279"/>
    <w:rsid w:val="003F1D2A"/>
    <w:rsid w:val="00403546"/>
    <w:rsid w:val="00406E7A"/>
    <w:rsid w:val="00440978"/>
    <w:rsid w:val="00445238"/>
    <w:rsid w:val="00451340"/>
    <w:rsid w:val="00461594"/>
    <w:rsid w:val="00471766"/>
    <w:rsid w:val="0047711B"/>
    <w:rsid w:val="00477C7C"/>
    <w:rsid w:val="004829AD"/>
    <w:rsid w:val="00485BDF"/>
    <w:rsid w:val="004A33C0"/>
    <w:rsid w:val="004B238A"/>
    <w:rsid w:val="004C6200"/>
    <w:rsid w:val="004E0DEC"/>
    <w:rsid w:val="004E443F"/>
    <w:rsid w:val="004F285B"/>
    <w:rsid w:val="004F6760"/>
    <w:rsid w:val="00502A60"/>
    <w:rsid w:val="00512F82"/>
    <w:rsid w:val="00537D91"/>
    <w:rsid w:val="00544B41"/>
    <w:rsid w:val="00555E72"/>
    <w:rsid w:val="00557F03"/>
    <w:rsid w:val="00581C75"/>
    <w:rsid w:val="00595A64"/>
    <w:rsid w:val="005A045B"/>
    <w:rsid w:val="005A495E"/>
    <w:rsid w:val="005D7EF5"/>
    <w:rsid w:val="00607ADD"/>
    <w:rsid w:val="00621CB6"/>
    <w:rsid w:val="00625A1F"/>
    <w:rsid w:val="00634345"/>
    <w:rsid w:val="00637F45"/>
    <w:rsid w:val="006424DC"/>
    <w:rsid w:val="006644A8"/>
    <w:rsid w:val="006659CF"/>
    <w:rsid w:val="00667604"/>
    <w:rsid w:val="006742D2"/>
    <w:rsid w:val="006820E9"/>
    <w:rsid w:val="006834F7"/>
    <w:rsid w:val="00683FBF"/>
    <w:rsid w:val="0069415F"/>
    <w:rsid w:val="0069520C"/>
    <w:rsid w:val="006A1104"/>
    <w:rsid w:val="006A5CD8"/>
    <w:rsid w:val="006B4691"/>
    <w:rsid w:val="006B5A45"/>
    <w:rsid w:val="006B6CF0"/>
    <w:rsid w:val="006C6E2B"/>
    <w:rsid w:val="00702248"/>
    <w:rsid w:val="00706263"/>
    <w:rsid w:val="0071089E"/>
    <w:rsid w:val="007302DB"/>
    <w:rsid w:val="00733C8A"/>
    <w:rsid w:val="00740078"/>
    <w:rsid w:val="00755E4F"/>
    <w:rsid w:val="00755F5C"/>
    <w:rsid w:val="00763234"/>
    <w:rsid w:val="0078026B"/>
    <w:rsid w:val="007844D2"/>
    <w:rsid w:val="00786027"/>
    <w:rsid w:val="00791120"/>
    <w:rsid w:val="00791A5B"/>
    <w:rsid w:val="007A10E1"/>
    <w:rsid w:val="007A21DD"/>
    <w:rsid w:val="007B1746"/>
    <w:rsid w:val="007B27E9"/>
    <w:rsid w:val="007D16C3"/>
    <w:rsid w:val="007E37D3"/>
    <w:rsid w:val="007E6EBA"/>
    <w:rsid w:val="00801B4B"/>
    <w:rsid w:val="00807FA6"/>
    <w:rsid w:val="00812012"/>
    <w:rsid w:val="00821BAE"/>
    <w:rsid w:val="008254C5"/>
    <w:rsid w:val="008265E4"/>
    <w:rsid w:val="00836213"/>
    <w:rsid w:val="008432AE"/>
    <w:rsid w:val="00853B61"/>
    <w:rsid w:val="00860EDD"/>
    <w:rsid w:val="008755E8"/>
    <w:rsid w:val="0088054A"/>
    <w:rsid w:val="00896610"/>
    <w:rsid w:val="00897A19"/>
    <w:rsid w:val="008A5EBD"/>
    <w:rsid w:val="008B53B3"/>
    <w:rsid w:val="008B589E"/>
    <w:rsid w:val="008C7206"/>
    <w:rsid w:val="008D4ED1"/>
    <w:rsid w:val="008D57DC"/>
    <w:rsid w:val="008E4116"/>
    <w:rsid w:val="008E44A2"/>
    <w:rsid w:val="008E6F2A"/>
    <w:rsid w:val="008F0D13"/>
    <w:rsid w:val="008F1003"/>
    <w:rsid w:val="00906D26"/>
    <w:rsid w:val="0091337E"/>
    <w:rsid w:val="00917F4B"/>
    <w:rsid w:val="0092094E"/>
    <w:rsid w:val="00935089"/>
    <w:rsid w:val="00946309"/>
    <w:rsid w:val="00960921"/>
    <w:rsid w:val="00964231"/>
    <w:rsid w:val="00971B2E"/>
    <w:rsid w:val="009A6005"/>
    <w:rsid w:val="009B2E9D"/>
    <w:rsid w:val="009B301C"/>
    <w:rsid w:val="009B619D"/>
    <w:rsid w:val="009C0D68"/>
    <w:rsid w:val="009C3057"/>
    <w:rsid w:val="009D4088"/>
    <w:rsid w:val="009E3608"/>
    <w:rsid w:val="009E651C"/>
    <w:rsid w:val="009F2C4C"/>
    <w:rsid w:val="009F5618"/>
    <w:rsid w:val="00A07235"/>
    <w:rsid w:val="00A303BC"/>
    <w:rsid w:val="00A4542D"/>
    <w:rsid w:val="00A54E1B"/>
    <w:rsid w:val="00A550D7"/>
    <w:rsid w:val="00A7139C"/>
    <w:rsid w:val="00A81C4A"/>
    <w:rsid w:val="00A84AFB"/>
    <w:rsid w:val="00A87F27"/>
    <w:rsid w:val="00A91D96"/>
    <w:rsid w:val="00AA01A2"/>
    <w:rsid w:val="00AA6487"/>
    <w:rsid w:val="00AC6ECD"/>
    <w:rsid w:val="00AC70F4"/>
    <w:rsid w:val="00AE3CD1"/>
    <w:rsid w:val="00AF116F"/>
    <w:rsid w:val="00AF39F4"/>
    <w:rsid w:val="00B01190"/>
    <w:rsid w:val="00B07EE7"/>
    <w:rsid w:val="00B20380"/>
    <w:rsid w:val="00B21289"/>
    <w:rsid w:val="00B23A3F"/>
    <w:rsid w:val="00B351E6"/>
    <w:rsid w:val="00B42FBA"/>
    <w:rsid w:val="00B47FB3"/>
    <w:rsid w:val="00B61DC8"/>
    <w:rsid w:val="00B75A10"/>
    <w:rsid w:val="00B8543D"/>
    <w:rsid w:val="00B96A76"/>
    <w:rsid w:val="00B96E77"/>
    <w:rsid w:val="00BA050B"/>
    <w:rsid w:val="00BA2818"/>
    <w:rsid w:val="00BA372E"/>
    <w:rsid w:val="00BA383D"/>
    <w:rsid w:val="00BC5492"/>
    <w:rsid w:val="00BC7AFD"/>
    <w:rsid w:val="00BD37D0"/>
    <w:rsid w:val="00BD5931"/>
    <w:rsid w:val="00BD619A"/>
    <w:rsid w:val="00BD69B6"/>
    <w:rsid w:val="00BE36AB"/>
    <w:rsid w:val="00BF4A34"/>
    <w:rsid w:val="00C27F2A"/>
    <w:rsid w:val="00C32051"/>
    <w:rsid w:val="00C41415"/>
    <w:rsid w:val="00C45E8F"/>
    <w:rsid w:val="00C55ECF"/>
    <w:rsid w:val="00C66C61"/>
    <w:rsid w:val="00C672C9"/>
    <w:rsid w:val="00C710DC"/>
    <w:rsid w:val="00C7284E"/>
    <w:rsid w:val="00C77E43"/>
    <w:rsid w:val="00C93B55"/>
    <w:rsid w:val="00C9665E"/>
    <w:rsid w:val="00CA5CA4"/>
    <w:rsid w:val="00CB3826"/>
    <w:rsid w:val="00CD0FC3"/>
    <w:rsid w:val="00CE02C8"/>
    <w:rsid w:val="00CE7771"/>
    <w:rsid w:val="00CF7BD8"/>
    <w:rsid w:val="00D02041"/>
    <w:rsid w:val="00D20279"/>
    <w:rsid w:val="00D256FC"/>
    <w:rsid w:val="00D2734E"/>
    <w:rsid w:val="00D30C8C"/>
    <w:rsid w:val="00D36F27"/>
    <w:rsid w:val="00D41136"/>
    <w:rsid w:val="00D5098C"/>
    <w:rsid w:val="00D50C91"/>
    <w:rsid w:val="00D52CDA"/>
    <w:rsid w:val="00D60075"/>
    <w:rsid w:val="00D60F91"/>
    <w:rsid w:val="00D638E8"/>
    <w:rsid w:val="00D703A5"/>
    <w:rsid w:val="00D714CD"/>
    <w:rsid w:val="00D71769"/>
    <w:rsid w:val="00D72A25"/>
    <w:rsid w:val="00D74B94"/>
    <w:rsid w:val="00D77D18"/>
    <w:rsid w:val="00D91225"/>
    <w:rsid w:val="00DA06B1"/>
    <w:rsid w:val="00DD0EEA"/>
    <w:rsid w:val="00DD13F3"/>
    <w:rsid w:val="00DD2AEA"/>
    <w:rsid w:val="00DD3390"/>
    <w:rsid w:val="00DE0EAA"/>
    <w:rsid w:val="00DF368A"/>
    <w:rsid w:val="00E12699"/>
    <w:rsid w:val="00E12F9D"/>
    <w:rsid w:val="00E16F92"/>
    <w:rsid w:val="00E213A6"/>
    <w:rsid w:val="00E21AE3"/>
    <w:rsid w:val="00E331C8"/>
    <w:rsid w:val="00E46C15"/>
    <w:rsid w:val="00E50E8E"/>
    <w:rsid w:val="00E55522"/>
    <w:rsid w:val="00E56503"/>
    <w:rsid w:val="00E638CB"/>
    <w:rsid w:val="00E66502"/>
    <w:rsid w:val="00E774E3"/>
    <w:rsid w:val="00EB28AE"/>
    <w:rsid w:val="00EC3CD3"/>
    <w:rsid w:val="00EC70C1"/>
    <w:rsid w:val="00EE3D0D"/>
    <w:rsid w:val="00EE6CD7"/>
    <w:rsid w:val="00EE7E38"/>
    <w:rsid w:val="00F17BF2"/>
    <w:rsid w:val="00F20BED"/>
    <w:rsid w:val="00F31D80"/>
    <w:rsid w:val="00F434FE"/>
    <w:rsid w:val="00F44F84"/>
    <w:rsid w:val="00F5037F"/>
    <w:rsid w:val="00F6059B"/>
    <w:rsid w:val="00F65909"/>
    <w:rsid w:val="00F949B7"/>
    <w:rsid w:val="00FA61DB"/>
    <w:rsid w:val="00FB0CFC"/>
    <w:rsid w:val="00FB10EB"/>
    <w:rsid w:val="00FD2534"/>
    <w:rsid w:val="00FE20E4"/>
    <w:rsid w:val="00FE2ABF"/>
    <w:rsid w:val="00FF3743"/>
    <w:rsid w:val="00FF54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EEEFF9"/>
  <w15:chartTrackingRefBased/>
  <w15:docId w15:val="{20A81502-BC52-4ECE-9B36-BB740E05B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umnst777 BT" w:hAnsi="Humnst777 BT"/>
      <w:sz w:val="24"/>
      <w:szCs w:val="24"/>
      <w:lang w:eastAsia="en-US"/>
    </w:rPr>
  </w:style>
  <w:style w:type="paragraph" w:styleId="Heading1">
    <w:name w:val="heading 1"/>
    <w:basedOn w:val="Normal"/>
    <w:next w:val="Normal"/>
    <w:qFormat/>
    <w:pPr>
      <w:keepNext/>
      <w:outlineLvl w:val="0"/>
    </w:pPr>
    <w:rPr>
      <w:rFonts w:ascii="Arial" w:hAnsi="Arial" w:cs="Arial"/>
      <w:b/>
      <w:bCs/>
      <w:sz w:val="28"/>
    </w:rPr>
  </w:style>
  <w:style w:type="paragraph" w:styleId="Heading2">
    <w:name w:val="heading 2"/>
    <w:basedOn w:val="Normal"/>
    <w:next w:val="Normal"/>
    <w:qFormat/>
    <w:pPr>
      <w:keepNext/>
      <w:outlineLvl w:val="1"/>
    </w:pPr>
    <w:rPr>
      <w:rFonts w:ascii="Arial" w:hAnsi="Arial" w:cs="Arial"/>
      <w:sz w:val="28"/>
    </w:rPr>
  </w:style>
  <w:style w:type="paragraph" w:styleId="Heading3">
    <w:name w:val="heading 3"/>
    <w:basedOn w:val="Normal"/>
    <w:next w:val="Normal"/>
    <w:qFormat/>
    <w:pPr>
      <w:keepNext/>
      <w:jc w:val="center"/>
      <w:outlineLvl w:val="2"/>
    </w:pPr>
    <w:rPr>
      <w:rFonts w:ascii="Arial" w:hAnsi="Arial" w:cs="Arial"/>
      <w:b/>
      <w:bCs/>
      <w:sz w:val="28"/>
    </w:rPr>
  </w:style>
  <w:style w:type="paragraph" w:styleId="Heading4">
    <w:name w:val="heading 4"/>
    <w:basedOn w:val="Normal"/>
    <w:next w:val="Normal"/>
    <w:qFormat/>
    <w:pPr>
      <w:keepNext/>
      <w:outlineLvl w:val="3"/>
    </w:pPr>
    <w:rPr>
      <w:rFonts w:ascii="Arial" w:hAnsi="Arial" w:cs="Arial"/>
      <w:b/>
      <w:bCs/>
    </w:rPr>
  </w:style>
  <w:style w:type="paragraph" w:styleId="Heading5">
    <w:name w:val="heading 5"/>
    <w:basedOn w:val="Normal"/>
    <w:next w:val="Normal"/>
    <w:qFormat/>
    <w:pPr>
      <w:keepNext/>
      <w:outlineLvl w:val="4"/>
    </w:pPr>
    <w:rPr>
      <w:rFonts w:cs="Arial"/>
      <w:b/>
      <w:bCs/>
      <w:color w:val="BA1300"/>
      <w:sz w:val="28"/>
    </w:rPr>
  </w:style>
  <w:style w:type="paragraph" w:styleId="Heading6">
    <w:name w:val="heading 6"/>
    <w:basedOn w:val="Normal"/>
    <w:next w:val="Normal"/>
    <w:qFormat/>
    <w:pPr>
      <w:keepNext/>
      <w:jc w:val="center"/>
      <w:outlineLvl w:val="5"/>
    </w:pPr>
    <w:rPr>
      <w:b/>
      <w:bCs/>
    </w:rPr>
  </w:style>
  <w:style w:type="paragraph" w:styleId="Heading7">
    <w:name w:val="heading 7"/>
    <w:basedOn w:val="Normal"/>
    <w:next w:val="Normal"/>
    <w:qFormat/>
    <w:pPr>
      <w:keepNext/>
      <w:tabs>
        <w:tab w:val="num" w:pos="0"/>
      </w:tabs>
      <w:jc w:val="both"/>
      <w:outlineLvl w:val="6"/>
    </w:pPr>
    <w:rPr>
      <w:i/>
      <w:iCs/>
      <w:sz w:val="22"/>
    </w:rPr>
  </w:style>
  <w:style w:type="paragraph" w:styleId="Heading8">
    <w:name w:val="heading 8"/>
    <w:basedOn w:val="Normal"/>
    <w:next w:val="Normal"/>
    <w:qFormat/>
    <w:pPr>
      <w:keepNext/>
      <w:spacing w:before="240" w:after="120" w:line="340" w:lineRule="exact"/>
      <w:ind w:left="340"/>
      <w:jc w:val="center"/>
      <w:outlineLvl w:val="7"/>
    </w:pPr>
    <w:rPr>
      <w:rFonts w:ascii="Arial" w:hAnsi="Arial" w:cs="Arial"/>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Hyperlink">
    <w:name w:val="Hyperlink"/>
    <w:semiHidden/>
    <w:rPr>
      <w:color w:val="0000FF"/>
      <w:u w:val="single"/>
    </w:rPr>
  </w:style>
  <w:style w:type="paragraph" w:styleId="BodyText">
    <w:name w:val="Body Text"/>
    <w:basedOn w:val="Normal"/>
    <w:semiHidden/>
    <w:rPr>
      <w:sz w:val="22"/>
    </w:rPr>
  </w:style>
  <w:style w:type="paragraph" w:styleId="BodyText3">
    <w:name w:val="Body Text 3"/>
    <w:basedOn w:val="Normal"/>
    <w:semiHidden/>
    <w:rPr>
      <w:rFonts w:ascii="Arial" w:hAnsi="Arial"/>
      <w:sz w:val="22"/>
      <w:lang w:val="en-US"/>
    </w:rPr>
  </w:style>
  <w:style w:type="paragraph" w:customStyle="1" w:styleId="Numpara">
    <w:name w:val="Numpara"/>
    <w:basedOn w:val="Normal"/>
    <w:pPr>
      <w:tabs>
        <w:tab w:val="num" w:pos="360"/>
      </w:tabs>
      <w:spacing w:before="40" w:after="120"/>
      <w:ind w:left="340"/>
    </w:pPr>
    <w:rPr>
      <w:rFonts w:ascii="Arial" w:hAnsi="Arial"/>
    </w:rPr>
  </w:style>
  <w:style w:type="paragraph" w:customStyle="1" w:styleId="3Sectionheader">
    <w:name w:val="3 Section header"/>
    <w:basedOn w:val="Normal"/>
    <w:next w:val="Normal"/>
    <w:pPr>
      <w:spacing w:before="240" w:after="240"/>
      <w:outlineLvl w:val="2"/>
    </w:pPr>
    <w:rPr>
      <w:rFonts w:ascii="Times New Roman" w:hAnsi="Times New Roman"/>
      <w:b/>
      <w:sz w:val="28"/>
    </w:rPr>
  </w:style>
  <w:style w:type="paragraph" w:customStyle="1" w:styleId="Normpara">
    <w:name w:val="Normpara"/>
    <w:basedOn w:val="Normal"/>
    <w:next w:val="Numpara"/>
    <w:pPr>
      <w:spacing w:after="120"/>
      <w:ind w:left="340"/>
    </w:pPr>
    <w:rPr>
      <w:rFonts w:ascii="Arial" w:hAnsi="Arial"/>
    </w:rPr>
  </w:style>
  <w:style w:type="paragraph" w:styleId="BodyText2">
    <w:name w:val="Body Text 2"/>
    <w:basedOn w:val="Normal"/>
    <w:semiHidden/>
    <w:rPr>
      <w:b/>
      <w:bCs/>
      <w:sz w:val="22"/>
    </w:rPr>
  </w:style>
  <w:style w:type="paragraph" w:styleId="BodyTextIndent2">
    <w:name w:val="Body Text Indent 2"/>
    <w:basedOn w:val="Normal"/>
    <w:semiHidden/>
    <w:pPr>
      <w:ind w:left="360"/>
      <w:jc w:val="both"/>
    </w:pPr>
    <w:rPr>
      <w:rFonts w:ascii="Arial" w:hAnsi="Arial" w:cs="Arial"/>
      <w:lang w:val="en-US"/>
    </w:rPr>
  </w:style>
  <w:style w:type="paragraph" w:styleId="BlockText">
    <w:name w:val="Block Text"/>
    <w:basedOn w:val="Normal"/>
    <w:semiHidden/>
    <w:pPr>
      <w:ind w:left="-540" w:right="-622"/>
    </w:pPr>
    <w:rPr>
      <w:rFonts w:cs="Arial"/>
      <w:b/>
      <w:sz w:val="22"/>
    </w:rPr>
  </w:style>
  <w:style w:type="character" w:styleId="FollowedHyperlink">
    <w:name w:val="FollowedHyperlink"/>
    <w:semiHidden/>
    <w:rPr>
      <w:color w:val="800080"/>
      <w:u w:val="single"/>
    </w:rPr>
  </w:style>
  <w:style w:type="character" w:styleId="CommentReference">
    <w:name w:val="annotation reference"/>
    <w:uiPriority w:val="99"/>
    <w:semiHidden/>
    <w:unhideWhenUsed/>
    <w:rsid w:val="00807FA6"/>
    <w:rPr>
      <w:sz w:val="16"/>
      <w:szCs w:val="16"/>
    </w:rPr>
  </w:style>
  <w:style w:type="paragraph" w:styleId="CommentText">
    <w:name w:val="annotation text"/>
    <w:basedOn w:val="Normal"/>
    <w:link w:val="CommentTextChar"/>
    <w:uiPriority w:val="99"/>
    <w:unhideWhenUsed/>
    <w:rsid w:val="00807FA6"/>
    <w:rPr>
      <w:sz w:val="20"/>
      <w:szCs w:val="20"/>
      <w:lang w:val="x-none"/>
    </w:rPr>
  </w:style>
  <w:style w:type="character" w:customStyle="1" w:styleId="CommentTextChar">
    <w:name w:val="Comment Text Char"/>
    <w:link w:val="CommentText"/>
    <w:uiPriority w:val="99"/>
    <w:rsid w:val="00807FA6"/>
    <w:rPr>
      <w:rFonts w:ascii="Humnst777 BT" w:hAnsi="Humnst777 BT"/>
      <w:lang w:eastAsia="en-US"/>
    </w:rPr>
  </w:style>
  <w:style w:type="paragraph" w:styleId="CommentSubject">
    <w:name w:val="annotation subject"/>
    <w:basedOn w:val="CommentText"/>
    <w:next w:val="CommentText"/>
    <w:link w:val="CommentSubjectChar"/>
    <w:uiPriority w:val="99"/>
    <w:semiHidden/>
    <w:unhideWhenUsed/>
    <w:rsid w:val="00807FA6"/>
    <w:rPr>
      <w:b/>
      <w:bCs/>
    </w:rPr>
  </w:style>
  <w:style w:type="character" w:customStyle="1" w:styleId="CommentSubjectChar">
    <w:name w:val="Comment Subject Char"/>
    <w:link w:val="CommentSubject"/>
    <w:uiPriority w:val="99"/>
    <w:semiHidden/>
    <w:rsid w:val="00807FA6"/>
    <w:rPr>
      <w:rFonts w:ascii="Humnst777 BT" w:hAnsi="Humnst777 BT"/>
      <w:b/>
      <w:bCs/>
      <w:lang w:eastAsia="en-US"/>
    </w:rPr>
  </w:style>
  <w:style w:type="paragraph" w:styleId="BalloonText">
    <w:name w:val="Balloon Text"/>
    <w:basedOn w:val="Normal"/>
    <w:link w:val="BalloonTextChar"/>
    <w:uiPriority w:val="99"/>
    <w:semiHidden/>
    <w:unhideWhenUsed/>
    <w:rsid w:val="00807FA6"/>
    <w:rPr>
      <w:rFonts w:ascii="Tahoma" w:hAnsi="Tahoma"/>
      <w:sz w:val="16"/>
      <w:szCs w:val="16"/>
      <w:lang w:val="x-none"/>
    </w:rPr>
  </w:style>
  <w:style w:type="character" w:customStyle="1" w:styleId="BalloonTextChar">
    <w:name w:val="Balloon Text Char"/>
    <w:link w:val="BalloonText"/>
    <w:uiPriority w:val="99"/>
    <w:semiHidden/>
    <w:rsid w:val="00807FA6"/>
    <w:rPr>
      <w:rFonts w:ascii="Tahoma" w:hAnsi="Tahoma" w:cs="Tahoma"/>
      <w:sz w:val="16"/>
      <w:szCs w:val="16"/>
      <w:lang w:eastAsia="en-US"/>
    </w:rPr>
  </w:style>
  <w:style w:type="paragraph" w:styleId="Revision">
    <w:name w:val="Revision"/>
    <w:hidden/>
    <w:uiPriority w:val="99"/>
    <w:semiHidden/>
    <w:rsid w:val="00B01190"/>
    <w:rPr>
      <w:rFonts w:ascii="Humnst777 BT" w:hAnsi="Humnst777 BT"/>
      <w:sz w:val="24"/>
      <w:szCs w:val="24"/>
      <w:lang w:eastAsia="en-US"/>
    </w:rPr>
  </w:style>
  <w:style w:type="paragraph" w:styleId="EndnoteText">
    <w:name w:val="endnote text"/>
    <w:basedOn w:val="Normal"/>
    <w:link w:val="EndnoteTextChar"/>
    <w:uiPriority w:val="99"/>
    <w:semiHidden/>
    <w:unhideWhenUsed/>
    <w:rsid w:val="00B01190"/>
    <w:rPr>
      <w:sz w:val="20"/>
      <w:szCs w:val="20"/>
      <w:lang w:val="x-none"/>
    </w:rPr>
  </w:style>
  <w:style w:type="character" w:customStyle="1" w:styleId="EndnoteTextChar">
    <w:name w:val="Endnote Text Char"/>
    <w:link w:val="EndnoteText"/>
    <w:uiPriority w:val="99"/>
    <w:semiHidden/>
    <w:rsid w:val="00B01190"/>
    <w:rPr>
      <w:rFonts w:ascii="Humnst777 BT" w:hAnsi="Humnst777 BT"/>
      <w:lang w:eastAsia="en-US"/>
    </w:rPr>
  </w:style>
  <w:style w:type="character" w:styleId="EndnoteReference">
    <w:name w:val="endnote reference"/>
    <w:uiPriority w:val="99"/>
    <w:semiHidden/>
    <w:unhideWhenUsed/>
    <w:rsid w:val="00B01190"/>
    <w:rPr>
      <w:vertAlign w:val="superscript"/>
    </w:rPr>
  </w:style>
  <w:style w:type="paragraph" w:styleId="FootnoteText">
    <w:name w:val="footnote text"/>
    <w:basedOn w:val="Normal"/>
    <w:link w:val="FootnoteTextChar"/>
    <w:uiPriority w:val="99"/>
    <w:semiHidden/>
    <w:unhideWhenUsed/>
    <w:rsid w:val="00B01190"/>
    <w:rPr>
      <w:sz w:val="20"/>
      <w:szCs w:val="20"/>
      <w:lang w:val="x-none"/>
    </w:rPr>
  </w:style>
  <w:style w:type="character" w:customStyle="1" w:styleId="FootnoteTextChar">
    <w:name w:val="Footnote Text Char"/>
    <w:link w:val="FootnoteText"/>
    <w:uiPriority w:val="99"/>
    <w:semiHidden/>
    <w:rsid w:val="00B01190"/>
    <w:rPr>
      <w:rFonts w:ascii="Humnst777 BT" w:hAnsi="Humnst777 BT"/>
      <w:lang w:eastAsia="en-US"/>
    </w:rPr>
  </w:style>
  <w:style w:type="character" w:styleId="FootnoteReference">
    <w:name w:val="footnote reference"/>
    <w:uiPriority w:val="99"/>
    <w:semiHidden/>
    <w:unhideWhenUsed/>
    <w:rsid w:val="00B01190"/>
    <w:rPr>
      <w:vertAlign w:val="superscript"/>
    </w:rPr>
  </w:style>
  <w:style w:type="table" w:styleId="TableGrid">
    <w:name w:val="Table Grid"/>
    <w:basedOn w:val="TableNormal"/>
    <w:uiPriority w:val="59"/>
    <w:rsid w:val="00637F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C7A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LGFinanceBranch@communities-ni.gov.uk"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wga.afmd@finance-ni.gov.uk"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Templates\Blank%20docu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LongProp xmlns="" name="TaxCatchAll"><![CDATA[749;#_WGA 2016-17|816189fe-da74-4438-aeef-fe5fb114f665;#746;#WGA|1a9b5597-df17-4cf6-86f4-b9788cea33aa;#698;#WGA|d672298c-4ea3-4461-b027-ed86eac70929;#5;#Other|c235b5c2-f697-427b-a70a-43d69599f998;#4;#Policy Document Types|bd4325a7-7f6a-48f9-b0dc-cc3aef626e65;#3;#Official|0c3401bb-744b-4660-997f-fc50d910db48;#2;#Government Financial Reporting|cf43247f-7ea9-43c0-b0b7-d8dd571f7bec;#1;#Public Spending|0f654411-7d5f-45ce-a09d-a0ea67f4b905]]></LongProp>
</LongProperties>
</file>

<file path=customXml/item4.xml><?xml version="1.0" encoding="utf-8"?>
<p:properties xmlns:p="http://schemas.microsoft.com/office/2006/metadata/properties" xmlns:xsi="http://www.w3.org/2001/XMLSchema-instance" xmlns:pc="http://schemas.microsoft.com/office/infopath/2007/PartnerControls">
  <documentManagement>
    <b9c42a306c8b47fcbaf8a41a71352f3a xmlns="7b99a066-afc2-4aa6-a1d9-de659684a046" xsi:nil="true"/>
    <d3acaa1fb1fd45d69e6498ce1656c037 xmlns="7b99a066-afc2-4aa6-a1d9-de659684a046" xsi:nil="true"/>
    <g727aac2e2204289aa2b5b6dcdadae03 xmlns="7b99a066-afc2-4aa6-a1d9-de659684a046" xsi:nil="true"/>
    <hb8bc0391a2e4089a24d47de9e4a6672 xmlns="7b99a066-afc2-4aa6-a1d9-de659684a046" xsi:nil="true"/>
    <jc76c0d69b0a44309f7bb16407c92353 xmlns="7b99a066-afc2-4aa6-a1d9-de659684a046" xsi:nil="true"/>
    <IconOverlay xmlns="http://schemas.microsoft.com/sharepoint/v4" xsi:nil="true"/>
    <dlc_EmailReceivedUTC xmlns="http://schemas.microsoft.com/sharepoint/v3" xsi:nil="true"/>
    <dlc_EmailSentUTC xmlns="http://schemas.microsoft.com/sharepoint/v3" xsi:nil="true"/>
    <HMT_DocumentTypeHTField0 xmlns="0ed1e1a8-bdd0-4161-8822-4ca31a09634c">
      <Terms xmlns="http://schemas.microsoft.com/office/infopath/2007/PartnerControls">
        <TermInfo xmlns="http://schemas.microsoft.com/office/infopath/2007/PartnerControls">
          <TermName xmlns="http://schemas.microsoft.com/office/infopath/2007/PartnerControls">Other</TermName>
          <TermId xmlns="http://schemas.microsoft.com/office/infopath/2007/PartnerControls">c235b5c2-f697-427b-a70a-43d69599f998</TermId>
        </TermInfo>
      </Terms>
    </HMT_DocumentTypeHTField0>
    <m4e205a008724e269aef64ca7bdb5848 xmlns="7b99a066-afc2-4aa6-a1d9-de659684a046" xsi:nil="true"/>
    <b4fdd2ce4232490396aa344e31f74d8e xmlns="7b99a066-afc2-4aa6-a1d9-de659684a046" xsi:nil="true"/>
    <dlc_EmailSubject xmlns="http://schemas.microsoft.com/sharepoint/v3" xsi:nil="true"/>
    <ieefa5c6211a4a5e9a507e1c1c1599ef xmlns="7b99a066-afc2-4aa6-a1d9-de659684a046" xsi:nil="true"/>
    <dlc_EmailTo xmlns="http://schemas.microsoft.com/sharepoint/v3" xsi:nil="true"/>
    <dlc_EmailFrom xmlns="http://schemas.microsoft.com/sharepoint/v3" xsi:nil="true"/>
    <dlc_EmailMailbox xmlns="http://schemas.microsoft.com/sharepoint/v3">
      <UserInfo>
        <DisplayName/>
        <AccountId xsi:nil="true"/>
        <AccountType/>
      </UserInfo>
    </dlc_EmailMailbox>
    <g3bf77b0a02d47ea8bec4fb357d1f3ee xmlns="7b99a066-afc2-4aa6-a1d9-de659684a046" xsi:nil="true"/>
    <TaxCatchAll xmlns="3e594cc4-3756-4503-a47d-9ea9c608b9c2">
      <Value>749</Value>
      <Value>746</Value>
      <Value>698</Value>
      <Value>5</Value>
      <Value>4</Value>
      <Value>3</Value>
      <Value>2</Value>
      <Value>1</Value>
    </TaxCatchAll>
  </documentManagement>
</p:properties>
</file>

<file path=customXml/item5.xml><?xml version="1.0" encoding="utf-8"?>
<ct:contentTypeSchema xmlns:ct="http://schemas.microsoft.com/office/2006/metadata/contentType" xmlns:ma="http://schemas.microsoft.com/office/2006/metadata/properties/metaAttributes" ct:_="" ma:_="" ma:contentTypeName="HMT Document" ma:contentTypeID="0x010100672A3FCA98991645BE083C320B7539B70073E2331C55A74AA0969608FB8C0629F600810051A1E0BF984796B7FDCB1D5527E1" ma:contentTypeVersion="9" ma:contentTypeDescription="Create an HMT Document" ma:contentTypeScope="" ma:versionID="fdfb04bffeb09d104713ff6335e5831c">
  <xsd:schema xmlns:xsd="http://www.w3.org/2001/XMLSchema" xmlns:xs="http://www.w3.org/2001/XMLSchema" xmlns:p="http://schemas.microsoft.com/office/2006/metadata/properties" xmlns:ns1="http://schemas.microsoft.com/sharepoint/v3" xmlns:ns2="7b99a066-afc2-4aa6-a1d9-de659684a046" xmlns:ns3="2e4aaef1-a7e7-4eac-bed7-f31ab1fb0f36" xmlns:ns4="0ed1e1a8-bdd0-4161-8822-4ca31a09634c" xmlns:ns5="3e594cc4-3756-4503-a47d-9ea9c608b9c2" xmlns:ns6="http://schemas.microsoft.com/sharepoint/v4" targetNamespace="http://schemas.microsoft.com/office/2006/metadata/properties" ma:root="true" ma:fieldsID="da12f21db7078ca6ca3f60101c192936" ns1:_="" ns2:_="" ns3:_="" ns4:_="" ns5:_="" ns6:_="">
    <xsd:import namespace="http://schemas.microsoft.com/sharepoint/v3"/>
    <xsd:import namespace="7b99a066-afc2-4aa6-a1d9-de659684a046"/>
    <xsd:import namespace="2e4aaef1-a7e7-4eac-bed7-f31ab1fb0f36"/>
    <xsd:import namespace="0ed1e1a8-bdd0-4161-8822-4ca31a09634c"/>
    <xsd:import namespace="3e594cc4-3756-4503-a47d-9ea9c608b9c2"/>
    <xsd:import namespace="http://schemas.microsoft.com/sharepoint/v4"/>
    <xsd:element name="properties">
      <xsd:complexType>
        <xsd:sequence>
          <xsd:element name="documentManagement">
            <xsd:complexType>
              <xsd:all>
                <xsd:element ref="ns2:HMT_Record" minOccurs="0"/>
                <xsd:element ref="ns1:dlc_EmailSubject" minOccurs="0"/>
                <xsd:element ref="ns1:dlc_EmailMailbox" minOccurs="0"/>
                <xsd:element ref="ns1:dlc_EmailTo" minOccurs="0"/>
                <xsd:element ref="ns1:dlc_EmailFrom" minOccurs="0"/>
                <xsd:element ref="ns1:dlc_EmailCC" minOccurs="0"/>
                <xsd:element ref="ns1:dlc_EmailBCC" minOccurs="0"/>
                <xsd:element ref="ns1:dlc_EmailSentUTC" minOccurs="0"/>
                <xsd:element ref="ns1:dlc_EmailReceivedUTC" minOccurs="0"/>
                <xsd:element ref="ns3:_dlc_DocId" minOccurs="0"/>
                <xsd:element ref="ns3:_dlc_DocIdUrl" minOccurs="0"/>
                <xsd:element ref="ns3:_dlc_DocIdPersistId" minOccurs="0"/>
                <xsd:element ref="ns4:HMT_DocumentTypeHTField0" minOccurs="0"/>
                <xsd:element ref="ns4:HMT_GroupHTField0" minOccurs="0"/>
                <xsd:element ref="ns4:HMT_TeamHTField0" minOccurs="0"/>
                <xsd:element ref="ns4:HMT_SubTeamHTField0" minOccurs="0"/>
                <xsd:element ref="ns4:HMT_CategoryHTField0" minOccurs="0"/>
                <xsd:element ref="ns4:HMT_ThemeHTField0" minOccurs="0"/>
                <xsd:element ref="ns4:HMT_TopicHTField0" minOccurs="0"/>
                <xsd:element ref="ns4:HMT_SubTopicHTField0" minOccurs="0"/>
                <xsd:element ref="ns4:HMT_ClassificationHTField0" minOccurs="0"/>
                <xsd:element ref="ns2:HMT_ClosedOn" minOccurs="0"/>
                <xsd:element ref="ns2:HMT_DeletedOn" minOccurs="0"/>
                <xsd:element ref="ns2:HMT_ArchivedOn" minOccurs="0"/>
                <xsd:element ref="ns2:HMT_LegacyItemID" minOccurs="0"/>
                <xsd:element ref="ns2:HMT_LegacyCreatedBy" minOccurs="0"/>
                <xsd:element ref="ns2:HMT_LegacyModifiedBy" minOccurs="0"/>
                <xsd:element ref="ns2:HMT_LegacyOrigSource" minOccurs="0"/>
                <xsd:element ref="ns2:HMT_LegacyExtRef" minOccurs="0"/>
                <xsd:element ref="ns2:HMT_LegacySensitive" minOccurs="0"/>
                <xsd:element ref="ns2:HMT_LegacyRecord" minOccurs="0"/>
                <xsd:element ref="ns2:HMT_Audit" minOccurs="0"/>
                <xsd:element ref="ns2:HMT_ClosedBy" minOccurs="0"/>
                <xsd:element ref="ns2:HMT_ArchivedBy" minOccurs="0"/>
                <xsd:element ref="ns2:HMT_ClosedArchive" minOccurs="0"/>
                <xsd:element ref="ns2:HMT_ClosedOnOrig" minOccurs="0"/>
                <xsd:element ref="ns2:HMT_ClosedbyOrig" minOccurs="0"/>
                <xsd:element ref="ns5:TaxCatchAll" minOccurs="0"/>
                <xsd:element ref="ns2:m4e205a008724e269aef64ca7bdb5848" minOccurs="0"/>
                <xsd:element ref="ns2:g727aac2e2204289aa2b5b6dcdadae03" minOccurs="0"/>
                <xsd:element ref="ns2:ieefa5c6211a4a5e9a507e1c1c1599ef" minOccurs="0"/>
                <xsd:element ref="ns2:hb8bc0391a2e4089a24d47de9e4a6672" minOccurs="0"/>
                <xsd:element ref="ns2:g3bf77b0a02d47ea8bec4fb357d1f3ee" minOccurs="0"/>
                <xsd:element ref="ns2:b4fdd2ce4232490396aa344e31f74d8e" minOccurs="0"/>
                <xsd:element ref="ns2:jc76c0d69b0a44309f7bb16407c92353" minOccurs="0"/>
                <xsd:element ref="ns2:d3acaa1fb1fd45d69e6498ce1656c037" minOccurs="0"/>
                <xsd:element ref="ns2:b9c42a306c8b47fcbaf8a41a71352f3a" minOccurs="0"/>
                <xsd:element ref="ns6: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lc_EmailSubject" ma:index="10" nillable="true" ma:displayName="Subject" ma:internalName="dlc_EmailSubject">
      <xsd:simpleType>
        <xsd:restriction base="dms:Text">
          <xsd:maxLength value="255"/>
        </xsd:restriction>
      </xsd:simpleType>
    </xsd:element>
    <xsd:element name="dlc_EmailMailbox" ma:index="11" nillable="true" ma:displayName="Submitter" ma:internalName="dlc_EmailMailbox">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lc_EmailTo" ma:index="12" nillable="true" ma:displayName="To" ma:internalName="dlc_EmailTo">
      <xsd:simpleType>
        <xsd:restriction base="dms:Text">
          <xsd:maxLength value="255"/>
        </xsd:restriction>
      </xsd:simpleType>
    </xsd:element>
    <xsd:element name="dlc_EmailFrom" ma:index="13" nillable="true" ma:displayName="From" ma:internalName="dlc_EmailFrom">
      <xsd:simpleType>
        <xsd:restriction base="dms:Text">
          <xsd:maxLength value="255"/>
        </xsd:restriction>
      </xsd:simpleType>
    </xsd:element>
    <xsd:element name="dlc_EmailCC" ma:index="14" nillable="true" ma:displayName="CC" ma:internalName="dlc_EmailCC" ma:readOnly="true">
      <xsd:simpleType>
        <xsd:restriction base="dms:Note">
          <xsd:maxLength value="1024"/>
        </xsd:restriction>
      </xsd:simpleType>
    </xsd:element>
    <xsd:element name="dlc_EmailBCC" ma:index="15" nillable="true" ma:displayName="BCC" ma:internalName="dlc_EmailBCC" ma:readOnly="true">
      <xsd:simpleType>
        <xsd:restriction base="dms:Note">
          <xsd:maxLength value="1024"/>
        </xsd:restriction>
      </xsd:simpleType>
    </xsd:element>
    <xsd:element name="dlc_EmailSentUTC" ma:index="16" nillable="true" ma:displayName="Date Sent" ma:internalName="dlc_EmailSentUTC">
      <xsd:simpleType>
        <xsd:restriction base="dms:DateTime"/>
      </xsd:simpleType>
    </xsd:element>
    <xsd:element name="dlc_EmailReceivedUTC" ma:index="17" nillable="true" ma:displayName="Date Received" ma:internalName="dlc_EmailReceivedUTC">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b99a066-afc2-4aa6-a1d9-de659684a046" elementFormDefault="qualified">
    <xsd:import namespace="http://schemas.microsoft.com/office/2006/documentManagement/types"/>
    <xsd:import namespace="http://schemas.microsoft.com/office/infopath/2007/PartnerControls"/>
    <xsd:element name="HMT_Record" ma:index="9" nillable="true" ma:displayName="Record" ma:default="1" ma:description="Tick for important documents, eg decisions, long term value or evidence." ma:hidden="true" ma:internalName="HMT_Record" ma:readOnly="true">
      <xsd:simpleType>
        <xsd:restriction base="dms:Boolean"/>
      </xsd:simpleType>
    </xsd:element>
    <xsd:element name="HMT_ClosedOn" ma:index="38" nillable="true" ma:displayName="Closed On" ma:description="The date this item was closed on" ma:format="DateTime" ma:hidden="true" ma:internalName="HMT_ClosedOn" ma:readOnly="true">
      <xsd:simpleType>
        <xsd:restriction base="dms:DateTime"/>
      </xsd:simpleType>
    </xsd:element>
    <xsd:element name="HMT_DeletedOn" ma:index="39" nillable="true" ma:displayName="Deleted On" ma:description="The date this item was deleted on" ma:format="DateTime" ma:hidden="true" ma:internalName="HMT_DeletedOn" ma:readOnly="true">
      <xsd:simpleType>
        <xsd:restriction base="dms:DateTime"/>
      </xsd:simpleType>
    </xsd:element>
    <xsd:element name="HMT_ArchivedOn" ma:index="40" nillable="true" ma:displayName="Archived On" ma:description="The date this item was archived on" ma:format="DateTime" ma:hidden="true" ma:internalName="HMT_ArchivedOn" ma:readOnly="true">
      <xsd:simpleType>
        <xsd:restriction base="dms:DateTime"/>
      </xsd:simpleType>
    </xsd:element>
    <xsd:element name="HMT_LegacyItemID" ma:index="41" nillable="true" ma:displayName="Legacy Item ID" ma:hidden="true" ma:internalName="HMT_LegacyItemID" ma:readOnly="true">
      <xsd:simpleType>
        <xsd:restriction base="dms:Text"/>
      </xsd:simpleType>
    </xsd:element>
    <xsd:element name="HMT_LegacyCreatedBy" ma:index="42" nillable="true" ma:displayName="Legacy Created By" ma:hidden="true" ma:internalName="HMT_LegacyCreatedBy" ma:readOnly="true">
      <xsd:simpleType>
        <xsd:restriction base="dms:Text"/>
      </xsd:simpleType>
    </xsd:element>
    <xsd:element name="HMT_LegacyModifiedBy" ma:index="43" nillable="true" ma:displayName="Legacy Modified By" ma:hidden="true" ma:internalName="HMT_LegacyModifiedBy" ma:readOnly="true">
      <xsd:simpleType>
        <xsd:restriction base="dms:Text"/>
      </xsd:simpleType>
    </xsd:element>
    <xsd:element name="HMT_LegacyOrigSource" ma:index="44" nillable="true" ma:displayName="Original Source" ma:hidden="true" ma:internalName="HMT_LegacyOrigSource" ma:readOnly="true">
      <xsd:simpleType>
        <xsd:restriction base="dms:Text"/>
      </xsd:simpleType>
    </xsd:element>
    <xsd:element name="HMT_LegacyExtRef" ma:index="45" nillable="true" ma:displayName="External Reference" ma:hidden="true" ma:internalName="HMT_LegacyExtRef" ma:readOnly="true">
      <xsd:simpleType>
        <xsd:restriction base="dms:Text"/>
      </xsd:simpleType>
    </xsd:element>
    <xsd:element name="HMT_LegacySensitive" ma:index="46" nillable="true" ma:displayName="Sensitive Item" ma:default="0" ma:hidden="true" ma:internalName="HMT_LegacySensitive" ma:readOnly="true">
      <xsd:simpleType>
        <xsd:restriction base="dms:Boolean"/>
      </xsd:simpleType>
    </xsd:element>
    <xsd:element name="HMT_LegacyRecord" ma:index="47" nillable="true" ma:displayName="Legacy Record" ma:default="0" ma:hidden="true" ma:internalName="HMT_LegacyRecord" ma:readOnly="true">
      <xsd:simpleType>
        <xsd:restriction base="dms:Boolean"/>
      </xsd:simpleType>
    </xsd:element>
    <xsd:element name="HMT_Audit" ma:index="48" nillable="true" ma:displayName="Audit Log" ma:description="Audit Log" ma:internalName="HMT_Audit" ma:readOnly="true">
      <xsd:simpleType>
        <xsd:restriction base="dms:Note">
          <xsd:maxLength value="255"/>
        </xsd:restriction>
      </xsd:simpleType>
    </xsd:element>
    <xsd:element name="HMT_ClosedBy" ma:index="49" nillable="true" ma:displayName="Closed By" ma:description="Who closed this item" ma:hidden="true" ma:list="UserInfo" ma:internalName="HMT_Clos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ArchivedBy" ma:index="50" nillable="true" ma:displayName="Archived By" ma:description="Who archived this item" ma:hidden="true" ma:list="UserInfo" ma:internalName="HMT_Archiv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ClosedArchive" ma:index="51" nillable="true" ma:displayName="Closed Archive" ma:default="0" ma:description="Item sent to closed archive" ma:hidden="true" ma:internalName="HMT_ClosedArchive" ma:readOnly="true">
      <xsd:simpleType>
        <xsd:restriction base="dms:Boolean"/>
      </xsd:simpleType>
    </xsd:element>
    <xsd:element name="HMT_ClosedOnOrig" ma:index="52" nillable="true" ma:displayName="Original Closed On" ma:description="The date this item was originally closed on" ma:format="DateTime" ma:hidden="true" ma:internalName="HMT_ClosedOnOrig" ma:readOnly="true">
      <xsd:simpleType>
        <xsd:restriction base="dms:DateTime"/>
      </xsd:simpleType>
    </xsd:element>
    <xsd:element name="HMT_ClosedbyOrig" ma:index="53" nillable="true" ma:displayName="Original Closed By" ma:description="Who originally closed this item" ma:hidden="true" ma:list="UserInfo" ma:internalName="HMT_ClosedbyOrig"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4e205a008724e269aef64ca7bdb5848" ma:index="55" nillable="true" ma:displayName="Document Type_0" ma:hidden="true" ma:internalName="m4e205a008724e269aef64ca7bdb5848">
      <xsd:simpleType>
        <xsd:restriction base="dms:Note"/>
      </xsd:simpleType>
    </xsd:element>
    <xsd:element name="g727aac2e2204289aa2b5b6dcdadae03" ma:index="56" nillable="true" ma:displayName="Group_0" ma:hidden="true" ma:internalName="g727aac2e2204289aa2b5b6dcdadae03">
      <xsd:simpleType>
        <xsd:restriction base="dms:Note"/>
      </xsd:simpleType>
    </xsd:element>
    <xsd:element name="ieefa5c6211a4a5e9a507e1c1c1599ef" ma:index="57" nillable="true" ma:displayName="Team_0" ma:hidden="true" ma:internalName="ieefa5c6211a4a5e9a507e1c1c1599ef">
      <xsd:simpleType>
        <xsd:restriction base="dms:Note"/>
      </xsd:simpleType>
    </xsd:element>
    <xsd:element name="hb8bc0391a2e4089a24d47de9e4a6672" ma:index="58" nillable="true" ma:displayName="Sub Team_0" ma:hidden="true" ma:internalName="hb8bc0391a2e4089a24d47de9e4a6672">
      <xsd:simpleType>
        <xsd:restriction base="dms:Note"/>
      </xsd:simpleType>
    </xsd:element>
    <xsd:element name="g3bf77b0a02d47ea8bec4fb357d1f3ee" ma:index="59" nillable="true" ma:displayName="Category_0" ma:hidden="true" ma:internalName="g3bf77b0a02d47ea8bec4fb357d1f3ee">
      <xsd:simpleType>
        <xsd:restriction base="dms:Note"/>
      </xsd:simpleType>
    </xsd:element>
    <xsd:element name="b4fdd2ce4232490396aa344e31f74d8e" ma:index="60" nillable="true" ma:displayName="Library_0" ma:hidden="true" ma:internalName="b4fdd2ce4232490396aa344e31f74d8e">
      <xsd:simpleType>
        <xsd:restriction base="dms:Note"/>
      </xsd:simpleType>
    </xsd:element>
    <xsd:element name="jc76c0d69b0a44309f7bb16407c92353" ma:index="61" nillable="true" ma:displayName="Topic_0" ma:hidden="true" ma:internalName="jc76c0d69b0a44309f7bb16407c92353">
      <xsd:simpleType>
        <xsd:restriction base="dms:Note"/>
      </xsd:simpleType>
    </xsd:element>
    <xsd:element name="d3acaa1fb1fd45d69e6498ce1656c037" ma:index="62" nillable="true" ma:displayName="Sub Topic_0" ma:hidden="true" ma:internalName="d3acaa1fb1fd45d69e6498ce1656c037">
      <xsd:simpleType>
        <xsd:restriction base="dms:Note"/>
      </xsd:simpleType>
    </xsd:element>
    <xsd:element name="b9c42a306c8b47fcbaf8a41a71352f3a" ma:index="63" nillable="true" ma:displayName="Classification_0" ma:hidden="true" ma:internalName="b9c42a306c8b47fcbaf8a41a71352f3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4aaef1-a7e7-4eac-bed7-f31ab1fb0f36"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ed1e1a8-bdd0-4161-8822-4ca31a09634c" elementFormDefault="qualified">
    <xsd:import namespace="http://schemas.microsoft.com/office/2006/documentManagement/types"/>
    <xsd:import namespace="http://schemas.microsoft.com/office/infopath/2007/PartnerControls"/>
    <xsd:element name="HMT_DocumentTypeHTField0" ma:index="21" ma:taxonomy="true" ma:internalName="HMT_DocumentTypeHTField0" ma:taxonomyFieldName="HMT_DocumentType" ma:displayName="Document Type" ma:indexed="true" ma:default="5;#Other|c235b5c2-f697-427b-a70a-43d69599f998" ma:fieldId="{64e205a0-0872-4e26-9aef-64ca7bdb5848}" ma:sspId="6c7d3172-932f-4291-a657-62bb7a442bb2" ma:termSetId="b6f1e53f-947f-4b4b-98bb-41ceeb10f910" ma:anchorId="bd4325a7-7f6a-48f9-b0dc-cc3aef626e65" ma:open="false" ma:isKeyword="false">
      <xsd:complexType>
        <xsd:sequence>
          <xsd:element ref="pc:Terms" minOccurs="0" maxOccurs="1"/>
        </xsd:sequence>
      </xsd:complexType>
    </xsd:element>
    <xsd:element name="HMT_GroupHTField0" ma:index="23" nillable="true" ma:taxonomy="true" ma:internalName="HMT_GroupHTField0" ma:taxonomyFieldName="HMT_Group" ma:displayName="Group" ma:indexed="true" ma:readOnly="true" ma:default="1;#Public Spending|0f654411-7d5f-45ce-a09d-a0ea67f4b905" ma:fieldId="{0727aac2-e220-4289-aa2b-5b6dcdadae03}" ma:sspId="6c7d3172-932f-4291-a657-62bb7a442bb2" ma:termSetId="bfb00256-4f71-4b34-808b-e2a5e274e13b" ma:anchorId="00000000-0000-0000-0000-000000000000" ma:open="false" ma:isKeyword="false">
      <xsd:complexType>
        <xsd:sequence>
          <xsd:element ref="pc:Terms" minOccurs="0" maxOccurs="1"/>
        </xsd:sequence>
      </xsd:complexType>
    </xsd:element>
    <xsd:element name="HMT_TeamHTField0" ma:index="25" nillable="true" ma:taxonomy="true" ma:internalName="HMT_TeamHTField0" ma:taxonomyFieldName="HMT_Team" ma:displayName="Team" ma:indexed="true" ma:readOnly="true" ma:default="2;#Government Financial Reporting|cf43247f-7ea9-43c0-b0b7-d8dd571f7bec" ma:fieldId="{2eefa5c6-211a-4a5e-9a50-7e1c1c1599ef}" ma:sspId="6c7d3172-932f-4291-a657-62bb7a442bb2" ma:termSetId="bfb00256-4f71-4b34-808b-e2a5e274e13b" ma:anchorId="0f654411-7d5f-45ce-a09d-a0ea67f4b905" ma:open="false" ma:isKeyword="false">
      <xsd:complexType>
        <xsd:sequence>
          <xsd:element ref="pc:Terms" minOccurs="0" maxOccurs="1"/>
        </xsd:sequence>
      </xsd:complexType>
    </xsd:element>
    <xsd:element name="HMT_SubTeamHTField0" ma:index="27" nillable="true" ma:taxonomy="true" ma:internalName="HMT_SubTeamHTField0" ma:taxonomyFieldName="HMT_SubTeam" ma:displayName="Sub Team" ma:indexed="true" ma:readOnly="true" ma:fieldId="{1b8bc039-1a2e-4089-a24d-47de9e4a6672}" ma:sspId="6c7d3172-932f-4291-a657-62bb7a442bb2" ma:termSetId="bfb00256-4f71-4b34-808b-e2a5e274e13b" ma:anchorId="0f654411-7d5f-45ce-a09d-a0ea67f4b905" ma:open="false" ma:isKeyword="false">
      <xsd:complexType>
        <xsd:sequence>
          <xsd:element ref="pc:Terms" minOccurs="0" maxOccurs="1"/>
        </xsd:sequence>
      </xsd:complexType>
    </xsd:element>
    <xsd:element name="HMT_CategoryHTField0" ma:index="29" nillable="true" ma:taxonomy="true" ma:internalName="HMT_CategoryHTField0" ma:taxonomyFieldName="HMT_Category" ma:displayName="Category" ma:indexed="true" ma:readOnly="true" ma:default="4;#Policy Document Types|bd4325a7-7f6a-48f9-b0dc-cc3aef626e65" ma:fieldId="{03bf77b0-a02d-47ea-8bec-4fb357d1f3ee}" ma:sspId="6c7d3172-932f-4291-a657-62bb7a442bb2" ma:termSetId="b6f1e53f-947f-4b4b-98bb-41ceeb10f910" ma:anchorId="00000000-0000-0000-0000-000000000000" ma:open="false" ma:isKeyword="false">
      <xsd:complexType>
        <xsd:sequence>
          <xsd:element ref="pc:Terms" minOccurs="0" maxOccurs="1"/>
        </xsd:sequence>
      </xsd:complexType>
    </xsd:element>
    <xsd:element name="HMT_ThemeHTField0" ma:index="31" nillable="true" ma:taxonomy="true" ma:internalName="HMT_ThemeHTField0" ma:taxonomyFieldName="HMT_Theme" ma:displayName="Library" ma:indexed="true" ma:readOnly="true" ma:default="698;#WGA|d672298c-4ea3-4461-b027-ed86eac70929" ma:fieldId="{b4fdd2ce-4232-4903-96aa-344e31f74d8e}" ma:sspId="6c7d3172-932f-4291-a657-62bb7a442bb2" ma:termSetId="028aeac9-c6a8-42db-8457-26321a9c4614" ma:anchorId="00000000-0000-0000-0000-000000000000" ma:open="false" ma:isKeyword="false">
      <xsd:complexType>
        <xsd:sequence>
          <xsd:element ref="pc:Terms" minOccurs="0" maxOccurs="1"/>
        </xsd:sequence>
      </xsd:complexType>
    </xsd:element>
    <xsd:element name="HMT_TopicHTField0" ma:index="33" nillable="true" ma:taxonomy="true" ma:internalName="HMT_TopicHTField0" ma:taxonomyFieldName="HMT_Topic" ma:displayName="Topic" ma:indexed="true" ma:readOnly="true" ma:fieldId="{3c76c0d6-9b0a-4430-9f7b-b16407c92353}" ma:sspId="6c7d3172-932f-4291-a657-62bb7a442bb2" ma:termSetId="028aeac9-c6a8-42db-8457-26321a9c4614" ma:anchorId="d672298c-4ea3-4461-b027-ed86eac70929" ma:open="false" ma:isKeyword="false">
      <xsd:complexType>
        <xsd:sequence>
          <xsd:element ref="pc:Terms" minOccurs="0" maxOccurs="1"/>
        </xsd:sequence>
      </xsd:complexType>
    </xsd:element>
    <xsd:element name="HMT_SubTopicHTField0" ma:index="35" nillable="true" ma:taxonomy="true" ma:internalName="HMT_SubTopicHTField0" ma:taxonomyFieldName="HMT_SubTopic" ma:displayName="Sub Topic" ma:indexed="true" ma:readOnly="true" ma:fieldId="{d3acaa1f-b1fd-45d6-9e64-98ce1656c037}" ma:sspId="6c7d3172-932f-4291-a657-62bb7a442bb2" ma:termSetId="028aeac9-c6a8-42db-8457-26321a9c4614" ma:anchorId="d672298c-4ea3-4461-b027-ed86eac70929" ma:open="false" ma:isKeyword="false">
      <xsd:complexType>
        <xsd:sequence>
          <xsd:element ref="pc:Terms" minOccurs="0" maxOccurs="1"/>
        </xsd:sequence>
      </xsd:complexType>
    </xsd:element>
    <xsd:element name="HMT_ClassificationHTField0" ma:index="37" nillable="true" ma:taxonomy="true" ma:internalName="HMT_ClassificationHTField0" ma:taxonomyFieldName="HMT_Classification" ma:displayName="Classification" ma:indexed="true" ma:readOnly="true" ma:default="3;#Official|0c3401bb-744b-4660-997f-fc50d910db48" ma:fieldId="{b9c42a30-6c8b-47fc-baf8-a41a71352f3a}" ma:sspId="6c7d3172-932f-4291-a657-62bb7a442bb2" ma:termSetId="7a69d7dc-39ad-4ce6-95e5-a2714f1574d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e594cc4-3756-4503-a47d-9ea9c608b9c2" elementFormDefault="qualified">
    <xsd:import namespace="http://schemas.microsoft.com/office/2006/documentManagement/types"/>
    <xsd:import namespace="http://schemas.microsoft.com/office/infopath/2007/PartnerControls"/>
    <xsd:element name="TaxCatchAll" ma:index="54" nillable="true" ma:displayName="Taxonomy Catch All Column" ma:hidden="true" ma:list="{7d95bed0-d552-4ff1-b515-ae19bf557948}" ma:internalName="TaxCatchAll" ma:showField="CatchAllData" ma:web="3e594cc4-3756-4503-a47d-9ea9c608b9c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6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3778842-6BFF-493B-A36B-59A03F12270B}">
  <ds:schemaRefs>
    <ds:schemaRef ds:uri="http://schemas.openxmlformats.org/officeDocument/2006/bibliography"/>
  </ds:schemaRefs>
</ds:datastoreItem>
</file>

<file path=customXml/itemProps2.xml><?xml version="1.0" encoding="utf-8"?>
<ds:datastoreItem xmlns:ds="http://schemas.openxmlformats.org/officeDocument/2006/customXml" ds:itemID="{996B7499-EEA4-46D0-8730-271B7F916C5A}">
  <ds:schemaRefs>
    <ds:schemaRef ds:uri="http://schemas.microsoft.com/sharepoint/v3/contenttype/forms"/>
  </ds:schemaRefs>
</ds:datastoreItem>
</file>

<file path=customXml/itemProps3.xml><?xml version="1.0" encoding="utf-8"?>
<ds:datastoreItem xmlns:ds="http://schemas.openxmlformats.org/officeDocument/2006/customXml" ds:itemID="{D7E774F2-FD0E-4413-A5F2-C4BB23E745C3}">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884F483E-CF36-4CED-B882-E6E7A09F6B76}">
  <ds:schemaRefs>
    <ds:schemaRef ds:uri="http://schemas.microsoft.com/office/2006/metadata/properties"/>
    <ds:schemaRef ds:uri="http://schemas.microsoft.com/office/infopath/2007/PartnerControls"/>
    <ds:schemaRef ds:uri="7b99a066-afc2-4aa6-a1d9-de659684a046"/>
    <ds:schemaRef ds:uri="http://schemas.microsoft.com/sharepoint/v4"/>
    <ds:schemaRef ds:uri="http://schemas.microsoft.com/sharepoint/v3"/>
    <ds:schemaRef ds:uri="0ed1e1a8-bdd0-4161-8822-4ca31a09634c"/>
    <ds:schemaRef ds:uri="3e594cc4-3756-4503-a47d-9ea9c608b9c2"/>
  </ds:schemaRefs>
</ds:datastoreItem>
</file>

<file path=customXml/itemProps5.xml><?xml version="1.0" encoding="utf-8"?>
<ds:datastoreItem xmlns:ds="http://schemas.openxmlformats.org/officeDocument/2006/customXml" ds:itemID="{0C443A1C-F1D0-4C57-9067-AF6F7B78D3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b99a066-afc2-4aa6-a1d9-de659684a046"/>
    <ds:schemaRef ds:uri="2e4aaef1-a7e7-4eac-bed7-f31ab1fb0f36"/>
    <ds:schemaRef ds:uri="0ed1e1a8-bdd0-4161-8822-4ca31a09634c"/>
    <ds:schemaRef ds:uri="3e594cc4-3756-4503-a47d-9ea9c608b9c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8A54D3D-7C95-4B86-9909-4A0C0531994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Blank document template</Template>
  <TotalTime>1</TotalTime>
  <Pages>5</Pages>
  <Words>1094</Words>
  <Characters>6237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2025-26 WGA CG04 Management Review Checklist for Northern Ireland Local Government</vt:lpstr>
    </vt:vector>
  </TitlesOfParts>
  <Manager/>
  <Company/>
  <LinksUpToDate>false</LinksUpToDate>
  <CharactersWithSpaces>7317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WGA CG04 Management Review Checklist for Northern Ireland Local Government</dc:title>
  <dc:subject>2025-26 WGA Management Review Checklist for Northern Ireland Local Government</dc:subject>
  <dc:creator/>
  <cp:keywords>"2025-26, WGA, Management Review Checklist. Northern Ireland, Local Government"</cp:keywords>
  <dc:description/>
  <cp:lastModifiedBy>Cottney, Sam</cp:lastModifiedBy>
  <cp:revision>2</cp:revision>
  <cp:lastPrinted>2012-03-01T14:01:00Z</cp:lastPrinted>
  <dcterms:created xsi:type="dcterms:W3CDTF">2026-07-01T16:32:00Z</dcterms:created>
  <dcterms:modified xsi:type="dcterms:W3CDTF">2026-07-02T11:18:00Z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SecurityLabel">
    <vt:lpwstr>UNCLASSIFIED</vt:lpwstr>
  </property>
  <property fmtid="{D5CDD505-2E9C-101B-9397-08002B2CF9AE}" pid="3" name="Document Security Label">
    <vt:lpwstr>UNCLASSIFIED</vt:lpwstr>
  </property>
  <property fmtid="{D5CDD505-2E9C-101B-9397-08002B2CF9AE}" pid="4" name="bjDocumentSecurityXML">
    <vt:lpwstr>&lt;label version="1.0"&gt;&lt;element uid="id_newpolicy" value=""/&gt;&lt;element uid="id_unclassified" value=""/&gt;&lt;/label&gt;</vt:lpwstr>
  </property>
  <property fmtid="{D5CDD505-2E9C-101B-9397-08002B2CF9AE}" pid="5" name="bjDocumentSecurityPolicyProp">
    <vt:lpwstr>UK</vt:lpwstr>
  </property>
  <property fmtid="{D5CDD505-2E9C-101B-9397-08002B2CF9AE}" pid="6" name="bjDocumentSecurityPolicyPropID">
    <vt:lpwstr>id_newpolicy</vt:lpwstr>
  </property>
  <property fmtid="{D5CDD505-2E9C-101B-9397-08002B2CF9AE}" pid="7" name="bjDocumentSecurityProp1">
    <vt:lpwstr>UNCLASSIFIED</vt:lpwstr>
  </property>
  <property fmtid="{D5CDD505-2E9C-101B-9397-08002B2CF9AE}" pid="8" name="bjSecLabelProp1ID">
    <vt:lpwstr>id_unclassified</vt:lpwstr>
  </property>
  <property fmtid="{D5CDD505-2E9C-101B-9397-08002B2CF9AE}" pid="9" name="bjDocumentSecurityProp2">
    <vt:lpwstr/>
  </property>
  <property fmtid="{D5CDD505-2E9C-101B-9397-08002B2CF9AE}" pid="10" name="bjSecLabelProp2ID">
    <vt:lpwstr/>
  </property>
  <property fmtid="{D5CDD505-2E9C-101B-9397-08002B2CF9AE}" pid="11" name="bjDocumentSecurityProp3">
    <vt:lpwstr/>
  </property>
  <property fmtid="{D5CDD505-2E9C-101B-9397-08002B2CF9AE}" pid="12" name="bjSecLabelProp3ID">
    <vt:lpwstr/>
  </property>
  <property fmtid="{D5CDD505-2E9C-101B-9397-08002B2CF9AE}" pid="13" name="eGMS.protectiveMarking">
    <vt:lpwstr/>
  </property>
  <property fmtid="{D5CDD505-2E9C-101B-9397-08002B2CF9AE}" pid="14" name="docIndexRef">
    <vt:lpwstr>fb55cbb0-ac56-4341-b3be-1a4701c233ef</vt:lpwstr>
  </property>
  <property fmtid="{D5CDD505-2E9C-101B-9397-08002B2CF9AE}" pid="15" name="bjHeadersRemoved">
    <vt:lpwstr>true</vt:lpwstr>
  </property>
  <property fmtid="{D5CDD505-2E9C-101B-9397-08002B2CF9AE}" pid="16" name="display_urn:schemas-microsoft-com:office:office#Editor">
    <vt:lpwstr>Coelho, Emily - HMT</vt:lpwstr>
  </property>
  <property fmtid="{D5CDD505-2E9C-101B-9397-08002B2CF9AE}" pid="17" name="display_urn:schemas-microsoft-com:office:office#Author">
    <vt:lpwstr>Coelho, Emily - HMT</vt:lpwstr>
  </property>
  <property fmtid="{D5CDD505-2E9C-101B-9397-08002B2CF9AE}" pid="18" name="ItemRetentionFormula">
    <vt:lpwstr/>
  </property>
  <property fmtid="{D5CDD505-2E9C-101B-9397-08002B2CF9AE}" pid="19" name="_dlc_policyId">
    <vt:lpwstr/>
  </property>
  <property fmtid="{D5CDD505-2E9C-101B-9397-08002B2CF9AE}" pid="20" name="_dlc_DocId">
    <vt:lpwstr>HMTPUBSPND-7-21423</vt:lpwstr>
  </property>
  <property fmtid="{D5CDD505-2E9C-101B-9397-08002B2CF9AE}" pid="21" name="_dlc_DocIdItemGuid">
    <vt:lpwstr>afb06840-54fd-4089-8da8-e760950fb0b2</vt:lpwstr>
  </property>
  <property fmtid="{D5CDD505-2E9C-101B-9397-08002B2CF9AE}" pid="22" name="_dlc_DocIdUrl">
    <vt:lpwstr>http://sphmt/sites/ps/IS/_layouts/DocIdRedir.aspx?ID=HMTPUBSPND-7-21423, HMTPUBSPND-7-21423</vt:lpwstr>
  </property>
  <property fmtid="{D5CDD505-2E9C-101B-9397-08002B2CF9AE}" pid="23" name="HMT_ClosedOn">
    <vt:lpwstr/>
  </property>
  <property fmtid="{D5CDD505-2E9C-101B-9397-08002B2CF9AE}" pid="24" name="Order">
    <vt:lpwstr>973500.000000000</vt:lpwstr>
  </property>
  <property fmtid="{D5CDD505-2E9C-101B-9397-08002B2CF9AE}" pid="25" name="HMT_LegacyOrigSource">
    <vt:lpwstr/>
  </property>
  <property fmtid="{D5CDD505-2E9C-101B-9397-08002B2CF9AE}" pid="26" name="HMT_DeletedOn">
    <vt:lpwstr/>
  </property>
  <property fmtid="{D5CDD505-2E9C-101B-9397-08002B2CF9AE}" pid="27" name="dlc_EmailBCC">
    <vt:lpwstr/>
  </property>
  <property fmtid="{D5CDD505-2E9C-101B-9397-08002B2CF9AE}" pid="28" name="HMT_LegacyModifiedBy">
    <vt:lpwstr/>
  </property>
  <property fmtid="{D5CDD505-2E9C-101B-9397-08002B2CF9AE}" pid="29" name="HMT_ClosedArchive">
    <vt:lpwstr>0</vt:lpwstr>
  </property>
  <property fmtid="{D5CDD505-2E9C-101B-9397-08002B2CF9AE}" pid="30" name="URL">
    <vt:lpwstr/>
  </property>
  <property fmtid="{D5CDD505-2E9C-101B-9397-08002B2CF9AE}" pid="31" name="HMT_Comments">
    <vt:lpwstr/>
  </property>
  <property fmtid="{D5CDD505-2E9C-101B-9397-08002B2CF9AE}" pid="32" name="HMT_Group">
    <vt:lpwstr>1;#Public Spending|0f654411-7d5f-45ce-a09d-a0ea67f4b905</vt:lpwstr>
  </property>
  <property fmtid="{D5CDD505-2E9C-101B-9397-08002B2CF9AE}" pid="33" name="HMT_GroupHTField0">
    <vt:lpwstr>Public Spending|0f654411-7d5f-45ce-a09d-a0ea67f4b905</vt:lpwstr>
  </property>
  <property fmtid="{D5CDD505-2E9C-101B-9397-08002B2CF9AE}" pid="34" name="HMT_SubTopicHTField0">
    <vt:lpwstr>_WGA 2016-17|816189fe-da74-4438-aeef-fe5fb114f665</vt:lpwstr>
  </property>
  <property fmtid="{D5CDD505-2E9C-101B-9397-08002B2CF9AE}" pid="35" name="HMT_ArchivedBy">
    <vt:lpwstr/>
  </property>
  <property fmtid="{D5CDD505-2E9C-101B-9397-08002B2CF9AE}" pid="36" name="HMT_ClosedOnOrig">
    <vt:lpwstr/>
  </property>
  <property fmtid="{D5CDD505-2E9C-101B-9397-08002B2CF9AE}" pid="37" name="HMT_ArchiveReqBy">
    <vt:lpwstr/>
  </property>
  <property fmtid="{D5CDD505-2E9C-101B-9397-08002B2CF9AE}" pid="38" name="HMT_Topic">
    <vt:lpwstr>746;#WGA|1a9b5597-df17-4cf6-86f4-b9788cea33aa</vt:lpwstr>
  </property>
  <property fmtid="{D5CDD505-2E9C-101B-9397-08002B2CF9AE}" pid="39" name="xd_Signature">
    <vt:lpwstr/>
  </property>
  <property fmtid="{D5CDD505-2E9C-101B-9397-08002B2CF9AE}" pid="40" name="HMT_Note">
    <vt:lpwstr/>
  </property>
  <property fmtid="{D5CDD505-2E9C-101B-9397-08002B2CF9AE}" pid="41" name="xd_ProgID">
    <vt:lpwstr/>
  </property>
  <property fmtid="{D5CDD505-2E9C-101B-9397-08002B2CF9AE}" pid="42" name="dlc_EmailCC">
    <vt:lpwstr/>
  </property>
  <property fmtid="{D5CDD505-2E9C-101B-9397-08002B2CF9AE}" pid="43" name="HMT_LegacyRecord">
    <vt:lpwstr>0</vt:lpwstr>
  </property>
  <property fmtid="{D5CDD505-2E9C-101B-9397-08002B2CF9AE}" pid="44" name="HMT_Category">
    <vt:lpwstr>4;#Policy Document Types|bd4325a7-7f6a-48f9-b0dc-cc3aef626e65</vt:lpwstr>
  </property>
  <property fmtid="{D5CDD505-2E9C-101B-9397-08002B2CF9AE}" pid="45" name="HMT_ArchivedOn">
    <vt:lpwstr/>
  </property>
  <property fmtid="{D5CDD505-2E9C-101B-9397-08002B2CF9AE}" pid="46" name="HMT_ArchiveReqOn">
    <vt:lpwstr/>
  </property>
  <property fmtid="{D5CDD505-2E9C-101B-9397-08002B2CF9AE}" pid="47" name="_dlc_Exempt">
    <vt:lpwstr/>
  </property>
  <property fmtid="{D5CDD505-2E9C-101B-9397-08002B2CF9AE}" pid="48" name="HMT_SubTeam">
    <vt:lpwstr/>
  </property>
  <property fmtid="{D5CDD505-2E9C-101B-9397-08002B2CF9AE}" pid="49" name="HMT_ThemeHTField0">
    <vt:lpwstr>WGA|d672298c-4ea3-4461-b027-ed86eac70929</vt:lpwstr>
  </property>
  <property fmtid="{D5CDD505-2E9C-101B-9397-08002B2CF9AE}" pid="50" name="HMT_Classification">
    <vt:lpwstr>3;#Official|0c3401bb-744b-4660-997f-fc50d910db48</vt:lpwstr>
  </property>
  <property fmtid="{D5CDD505-2E9C-101B-9397-08002B2CF9AE}" pid="51" name="HMT_FolderOrderText">
    <vt:lpwstr/>
  </property>
  <property fmtid="{D5CDD505-2E9C-101B-9397-08002B2CF9AE}" pid="52" name="_dlc_ExpireDateSaved">
    <vt:lpwstr/>
  </property>
  <property fmtid="{D5CDD505-2E9C-101B-9397-08002B2CF9AE}" pid="53" name="HMT_SubTeamHTField0">
    <vt:lpwstr/>
  </property>
  <property fmtid="{D5CDD505-2E9C-101B-9397-08002B2CF9AE}" pid="54" name="HMT_LegacyCreatedBy">
    <vt:lpwstr/>
  </property>
  <property fmtid="{D5CDD505-2E9C-101B-9397-08002B2CF9AE}" pid="55" name="HMT_Audit">
    <vt:lpwstr/>
  </property>
  <property fmtid="{D5CDD505-2E9C-101B-9397-08002B2CF9AE}" pid="56" name="_dlc_ExpireDate">
    <vt:lpwstr/>
  </property>
  <property fmtid="{D5CDD505-2E9C-101B-9397-08002B2CF9AE}" pid="57" name="TemplateUrl">
    <vt:lpwstr/>
  </property>
  <property fmtid="{D5CDD505-2E9C-101B-9397-08002B2CF9AE}" pid="58" name="HMT_Record">
    <vt:lpwstr>1</vt:lpwstr>
  </property>
  <property fmtid="{D5CDD505-2E9C-101B-9397-08002B2CF9AE}" pid="59" name="HMT_TopicHTField0">
    <vt:lpwstr>WGA|1a9b5597-df17-4cf6-86f4-b9788cea33aa</vt:lpwstr>
  </property>
  <property fmtid="{D5CDD505-2E9C-101B-9397-08002B2CF9AE}" pid="60" name="HMT_ClassificationHTField0">
    <vt:lpwstr>Official|0c3401bb-744b-4660-997f-fc50d910db48</vt:lpwstr>
  </property>
  <property fmtid="{D5CDD505-2E9C-101B-9397-08002B2CF9AE}" pid="61" name="HMT_LegacyExtRef">
    <vt:lpwstr/>
  </property>
  <property fmtid="{D5CDD505-2E9C-101B-9397-08002B2CF9AE}" pid="62" name="HMT_ClosedbyOrig">
    <vt:lpwstr/>
  </property>
  <property fmtid="{D5CDD505-2E9C-101B-9397-08002B2CF9AE}" pid="63" name="HMT_Pending">
    <vt:lpwstr/>
  </property>
  <property fmtid="{D5CDD505-2E9C-101B-9397-08002B2CF9AE}" pid="64" name="HMT_TeamHTField0">
    <vt:lpwstr>Government Financial Reporting|cf43247f-7ea9-43c0-b0b7-d8dd571f7bec</vt:lpwstr>
  </property>
  <property fmtid="{D5CDD505-2E9C-101B-9397-08002B2CF9AE}" pid="65" name="HMT_LegacySensitive">
    <vt:lpwstr>0</vt:lpwstr>
  </property>
  <property fmtid="{D5CDD505-2E9C-101B-9397-08002B2CF9AE}" pid="66" name="HMT_Review">
    <vt:lpwstr/>
  </property>
  <property fmtid="{D5CDD505-2E9C-101B-9397-08002B2CF9AE}" pid="67" name="_dlc_DocIdPersistId">
    <vt:lpwstr/>
  </property>
  <property fmtid="{D5CDD505-2E9C-101B-9397-08002B2CF9AE}" pid="68" name="HMT_CategoryHTField0">
    <vt:lpwstr>Policy Document Types|bd4325a7-7f6a-48f9-b0dc-cc3aef626e65</vt:lpwstr>
  </property>
  <property fmtid="{D5CDD505-2E9C-101B-9397-08002B2CF9AE}" pid="69" name="HMT_LegacyItemID">
    <vt:lpwstr/>
  </property>
  <property fmtid="{D5CDD505-2E9C-101B-9397-08002B2CF9AE}" pid="70" name="HMT_ClosedBy">
    <vt:lpwstr/>
  </property>
  <property fmtid="{D5CDD505-2E9C-101B-9397-08002B2CF9AE}" pid="71" name="HMT_Modified">
    <vt:lpwstr/>
  </property>
  <property fmtid="{D5CDD505-2E9C-101B-9397-08002B2CF9AE}" pid="72" name="HMT_Theme">
    <vt:lpwstr>698;#WGA|d672298c-4ea3-4461-b027-ed86eac70929</vt:lpwstr>
  </property>
  <property fmtid="{D5CDD505-2E9C-101B-9397-08002B2CF9AE}" pid="73" name="HMT_SubTopic">
    <vt:lpwstr>749;#_WGA 2016-17|816189fe-da74-4438-aeef-fe5fb114f665</vt:lpwstr>
  </property>
  <property fmtid="{D5CDD505-2E9C-101B-9397-08002B2CF9AE}" pid="74" name="HMT_DocumentType">
    <vt:lpwstr>5;#Other|c235b5c2-f697-427b-a70a-43d69599f998</vt:lpwstr>
  </property>
  <property fmtid="{D5CDD505-2E9C-101B-9397-08002B2CF9AE}" pid="75" name="HMT_Team">
    <vt:lpwstr>2;#Government Financial Reporting|cf43247f-7ea9-43c0-b0b7-d8dd571f7bec</vt:lpwstr>
  </property>
  <property fmtid="{D5CDD505-2E9C-101B-9397-08002B2CF9AE}" pid="76" name="CX_RelocationTimestamp">
    <vt:lpwstr>2017-05-03T12:00:07Z</vt:lpwstr>
  </property>
  <property fmtid="{D5CDD505-2E9C-101B-9397-08002B2CF9AE}" pid="77" name="CX_RelocationUser">
    <vt:lpwstr>Coelho, Emily - HMT</vt:lpwstr>
  </property>
  <property fmtid="{D5CDD505-2E9C-101B-9397-08002B2CF9AE}" pid="78" name="CX_RelocationReason">
    <vt:lpwstr>Info Store Clipboard Operation (03/05/2017 12:59:51)</vt:lpwstr>
  </property>
  <property fmtid="{D5CDD505-2E9C-101B-9397-08002B2CF9AE}" pid="79" name="CX_RelocationOperation">
    <vt:lpwstr>Cut</vt:lpwstr>
  </property>
</Properties>
</file>