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4B926" w14:textId="69493F4D" w:rsidR="00CA079E" w:rsidRDefault="00CD7298" w:rsidP="063C0B3D">
      <w:pPr>
        <w:keepNext/>
        <w:pBdr>
          <w:top w:val="nil"/>
          <w:left w:val="nil"/>
          <w:bottom w:val="nil"/>
          <w:right w:val="nil"/>
          <w:between w:val="nil"/>
        </w:pBdr>
        <w:rPr>
          <w:rFonts w:eastAsia="Arial" w:cs="Arial"/>
          <w:b/>
          <w:bCs/>
          <w:color w:val="000000"/>
          <w:sz w:val="36"/>
          <w:szCs w:val="36"/>
        </w:rPr>
      </w:pPr>
      <w:r w:rsidRPr="063C0B3D">
        <w:rPr>
          <w:rFonts w:eastAsia="Arial" w:cs="Arial"/>
          <w:b/>
          <w:bCs/>
          <w:color w:val="000000" w:themeColor="text1"/>
          <w:sz w:val="36"/>
          <w:szCs w:val="36"/>
        </w:rPr>
        <w:t>Schedule 10 (</w:t>
      </w:r>
      <w:r w:rsidR="3C1A3E35" w:rsidRPr="063C0B3D">
        <w:rPr>
          <w:rFonts w:eastAsia="Arial" w:cs="Arial"/>
          <w:b/>
          <w:bCs/>
          <w:color w:val="000000" w:themeColor="text1"/>
          <w:sz w:val="36"/>
          <w:szCs w:val="36"/>
        </w:rPr>
        <w:t xml:space="preserve">Performance </w:t>
      </w:r>
      <w:r w:rsidRPr="063C0B3D">
        <w:rPr>
          <w:rFonts w:eastAsia="Arial" w:cs="Arial"/>
          <w:b/>
          <w:bCs/>
          <w:color w:val="000000" w:themeColor="text1"/>
          <w:sz w:val="36"/>
          <w:szCs w:val="36"/>
        </w:rPr>
        <w:t>Levels)</w:t>
      </w:r>
    </w:p>
    <w:p w14:paraId="7ADFE79A" w14:textId="77777777" w:rsidR="00CA079E" w:rsidRPr="0088685B" w:rsidRDefault="00CD7298" w:rsidP="00135404">
      <w:pPr>
        <w:pStyle w:val="GPSL1CLAUSEHEADING"/>
        <w:rPr>
          <w:rFonts w:ascii="Arial" w:hAnsi="Arial"/>
        </w:rPr>
      </w:pPr>
      <w:bookmarkStart w:id="0" w:name="_heading=h.30j0zll" w:colFirst="0" w:colLast="0"/>
      <w:bookmarkEnd w:id="0"/>
      <w:r w:rsidRPr="0088685B">
        <w:rPr>
          <w:rFonts w:ascii="Arial" w:hAnsi="Arial"/>
        </w:rPr>
        <w:t>Definitions</w:t>
      </w:r>
    </w:p>
    <w:p w14:paraId="7AC5086F" w14:textId="1C79E44F" w:rsidR="00CA079E" w:rsidRDefault="00CD7298" w:rsidP="005127A9">
      <w:pPr>
        <w:pStyle w:val="GPSL2numberedclause"/>
        <w:tabs>
          <w:tab w:val="clear" w:pos="907"/>
          <w:tab w:val="clear" w:pos="1134"/>
          <w:tab w:val="num" w:pos="993"/>
        </w:tabs>
        <w:ind w:left="993" w:hanging="567"/>
      </w:pPr>
      <w:r>
        <w:rPr>
          <w:rFonts w:eastAsia="Arial"/>
        </w:rPr>
        <w:t>In this Schedule, the following words shall have the following meanings and they shall supplement Schedule 1 (</w:t>
      </w:r>
      <w:r w:rsidRPr="00C237C7">
        <w:rPr>
          <w:rFonts w:eastAsia="Arial"/>
          <w:i/>
          <w:iCs/>
        </w:rPr>
        <w:t>Definitions</w:t>
      </w:r>
      <w:r>
        <w:rPr>
          <w:rFonts w:eastAsia="Arial"/>
        </w:rPr>
        <w:t>):</w:t>
      </w:r>
    </w:p>
    <w:tbl>
      <w:tblPr>
        <w:tblStyle w:val="3"/>
        <w:tblW w:w="8422" w:type="dxa"/>
        <w:tblInd w:w="900" w:type="dxa"/>
        <w:tblLayout w:type="fixed"/>
        <w:tblLook w:val="0400" w:firstRow="0" w:lastRow="0" w:firstColumn="0" w:lastColumn="0" w:noHBand="0" w:noVBand="1"/>
      </w:tblPr>
      <w:tblGrid>
        <w:gridCol w:w="2469"/>
        <w:gridCol w:w="5953"/>
      </w:tblGrid>
      <w:tr w:rsidR="00CA079E" w14:paraId="3EEE0A52" w14:textId="77777777" w:rsidTr="7901602A">
        <w:tc>
          <w:tcPr>
            <w:tcW w:w="2469" w:type="dxa"/>
          </w:tcPr>
          <w:p w14:paraId="73E19683" w14:textId="535E164C" w:rsidR="00CA079E" w:rsidRDefault="00CD7298" w:rsidP="00C01161">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 xml:space="preserve">"Critical </w:t>
            </w:r>
            <w:r w:rsidR="00C01161">
              <w:rPr>
                <w:rFonts w:eastAsia="Arial" w:cs="Arial"/>
                <w:b/>
                <w:color w:val="000000"/>
              </w:rPr>
              <w:t>KPI</w:t>
            </w:r>
            <w:r>
              <w:rPr>
                <w:rFonts w:eastAsia="Arial" w:cs="Arial"/>
                <w:b/>
                <w:color w:val="000000"/>
              </w:rPr>
              <w:t xml:space="preserve"> Failure"</w:t>
            </w:r>
          </w:p>
        </w:tc>
        <w:tc>
          <w:tcPr>
            <w:tcW w:w="5953" w:type="dxa"/>
          </w:tcPr>
          <w:p w14:paraId="30581A19" w14:textId="77777777" w:rsidR="00CA079E" w:rsidRDefault="00CD7298" w:rsidP="00F36489">
            <w:pPr>
              <w:pBdr>
                <w:top w:val="nil"/>
                <w:left w:val="nil"/>
                <w:bottom w:val="nil"/>
                <w:right w:val="nil"/>
                <w:between w:val="nil"/>
              </w:pBdr>
              <w:tabs>
                <w:tab w:val="left" w:pos="-9"/>
              </w:tabs>
              <w:spacing w:before="120" w:after="120" w:line="240" w:lineRule="auto"/>
              <w:rPr>
                <w:rFonts w:eastAsia="Arial" w:cs="Arial"/>
                <w:color w:val="000000"/>
              </w:rPr>
            </w:pPr>
            <w:r>
              <w:rPr>
                <w:rFonts w:eastAsia="Arial" w:cs="Arial"/>
                <w:color w:val="000000"/>
              </w:rPr>
              <w:t>has the meaning given to it in the Award Form;</w:t>
            </w:r>
          </w:p>
        </w:tc>
      </w:tr>
      <w:tr w:rsidR="00E77AE1" w14:paraId="591DC028" w14:textId="77777777" w:rsidTr="7901602A">
        <w:tc>
          <w:tcPr>
            <w:tcW w:w="2469" w:type="dxa"/>
          </w:tcPr>
          <w:p w14:paraId="509EE945" w14:textId="1E12AA3A" w:rsidR="00CA079E" w:rsidRDefault="00CD7298" w:rsidP="00E73E7F">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w:t>
            </w:r>
            <w:r w:rsidR="00E73E7F">
              <w:rPr>
                <w:rFonts w:eastAsia="Arial" w:cs="Arial"/>
                <w:b/>
                <w:color w:val="000000"/>
              </w:rPr>
              <w:t xml:space="preserve">KPI </w:t>
            </w:r>
            <w:r>
              <w:rPr>
                <w:rFonts w:eastAsia="Arial" w:cs="Arial"/>
                <w:b/>
                <w:color w:val="000000"/>
              </w:rPr>
              <w:t>Failure"</w:t>
            </w:r>
          </w:p>
        </w:tc>
        <w:tc>
          <w:tcPr>
            <w:tcW w:w="5953" w:type="dxa"/>
          </w:tcPr>
          <w:p w14:paraId="3EE784E8" w14:textId="5FBA5F56" w:rsidR="00E77AE1" w:rsidRPr="00135404" w:rsidRDefault="00E77AE1" w:rsidP="0088685B">
            <w:pPr>
              <w:spacing w:before="120" w:after="120" w:line="240" w:lineRule="auto"/>
              <w:rPr>
                <w:rFonts w:eastAsia="Arial" w:cs="Arial"/>
                <w:color w:val="000000"/>
              </w:rPr>
            </w:pPr>
            <w:r>
              <w:rPr>
                <w:rFonts w:eastAsia="Arial" w:cs="Arial"/>
                <w:color w:val="000000"/>
              </w:rPr>
              <w:t>a failure to meet the KPI Performance Measure in respect of a Key Performance Indicator;</w:t>
            </w:r>
          </w:p>
        </w:tc>
      </w:tr>
      <w:tr w:rsidR="00E77AE1" w14:paraId="5D1384E9" w14:textId="77777777" w:rsidTr="7901602A">
        <w:tc>
          <w:tcPr>
            <w:tcW w:w="2469" w:type="dxa"/>
          </w:tcPr>
          <w:p w14:paraId="5F8F4490" w14:textId="75666F69" w:rsidR="00CA079E" w:rsidRDefault="00CD7298" w:rsidP="00E73E7F">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w:t>
            </w:r>
            <w:r w:rsidR="00E73E7F">
              <w:rPr>
                <w:rFonts w:eastAsia="Arial" w:cs="Arial"/>
                <w:b/>
                <w:color w:val="000000"/>
              </w:rPr>
              <w:t xml:space="preserve">KPI </w:t>
            </w:r>
            <w:r>
              <w:rPr>
                <w:rFonts w:eastAsia="Arial" w:cs="Arial"/>
                <w:b/>
                <w:color w:val="000000"/>
              </w:rPr>
              <w:t xml:space="preserve"> Performance Measure"</w:t>
            </w:r>
          </w:p>
        </w:tc>
        <w:tc>
          <w:tcPr>
            <w:tcW w:w="5953" w:type="dxa"/>
          </w:tcPr>
          <w:p w14:paraId="5B46DE12" w14:textId="5D62F29F" w:rsidR="00E77AE1" w:rsidRPr="00135404" w:rsidRDefault="00E77AE1" w:rsidP="0088685B">
            <w:pPr>
              <w:spacing w:before="120" w:after="120" w:line="240" w:lineRule="auto"/>
              <w:rPr>
                <w:rFonts w:eastAsia="Arial" w:cs="Arial"/>
                <w:color w:val="000000"/>
              </w:rPr>
            </w:pPr>
            <w:r>
              <w:rPr>
                <w:rFonts w:eastAsia="Arial" w:cs="Arial"/>
                <w:color w:val="000000"/>
              </w:rPr>
              <w:t>shall be as set out against the relevant Key Performance Indicator in the Annex to Part A of this Schedule;</w:t>
            </w:r>
          </w:p>
        </w:tc>
      </w:tr>
      <w:tr w:rsidR="00E77AE1" w14:paraId="4D674B6D" w14:textId="77777777" w:rsidTr="7901602A">
        <w:tc>
          <w:tcPr>
            <w:tcW w:w="2469" w:type="dxa"/>
          </w:tcPr>
          <w:p w14:paraId="6341298E" w14:textId="7CF471E0" w:rsidR="00CA079E" w:rsidRDefault="00CD7298" w:rsidP="00E73E7F">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w:t>
            </w:r>
            <w:r w:rsidR="00E73E7F">
              <w:rPr>
                <w:rFonts w:eastAsia="Arial" w:cs="Arial"/>
                <w:b/>
                <w:color w:val="000000"/>
              </w:rPr>
              <w:t>KPI</w:t>
            </w:r>
            <w:r>
              <w:rPr>
                <w:rFonts w:eastAsia="Arial" w:cs="Arial"/>
                <w:b/>
                <w:color w:val="000000"/>
              </w:rPr>
              <w:t xml:space="preserve"> Threshold"</w:t>
            </w:r>
          </w:p>
        </w:tc>
        <w:tc>
          <w:tcPr>
            <w:tcW w:w="5953" w:type="dxa"/>
          </w:tcPr>
          <w:p w14:paraId="081DC3B9" w14:textId="42C45528" w:rsidR="00E77AE1" w:rsidRPr="00135404" w:rsidRDefault="00E77AE1" w:rsidP="0088685B">
            <w:pPr>
              <w:spacing w:before="120" w:after="120" w:line="240" w:lineRule="auto"/>
              <w:rPr>
                <w:rFonts w:eastAsia="Arial" w:cs="Arial"/>
                <w:color w:val="000000"/>
              </w:rPr>
            </w:pPr>
            <w:r>
              <w:rPr>
                <w:rFonts w:eastAsia="Arial" w:cs="Arial"/>
                <w:color w:val="000000"/>
              </w:rPr>
              <w:t xml:space="preserve">shall be as set out against the relevant Key Performance Indicator in the Annex to </w:t>
            </w:r>
            <w:r w:rsidRPr="00147AB8">
              <w:rPr>
                <w:rFonts w:eastAsia="Arial" w:cs="Arial"/>
                <w:color w:val="000000"/>
              </w:rPr>
              <w:t>Part </w:t>
            </w:r>
            <w:r>
              <w:rPr>
                <w:rFonts w:eastAsia="Arial" w:cs="Arial"/>
                <w:color w:val="000000"/>
              </w:rPr>
              <w:t>A of this Schedule</w:t>
            </w:r>
            <w:r w:rsidR="00A7666C">
              <w:rPr>
                <w:rFonts w:eastAsia="Arial" w:cs="Arial"/>
                <w:color w:val="000000"/>
              </w:rPr>
              <w:t>;</w:t>
            </w:r>
          </w:p>
        </w:tc>
      </w:tr>
      <w:tr w:rsidR="00701ED3" w14:paraId="0E788E89" w14:textId="77777777" w:rsidTr="7901602A">
        <w:tc>
          <w:tcPr>
            <w:tcW w:w="2469" w:type="dxa"/>
          </w:tcPr>
          <w:p w14:paraId="3C9AB8E4" w14:textId="5F3C6E26" w:rsidR="00701ED3" w:rsidRDefault="00701ED3" w:rsidP="00701ED3">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“Measurement Period”</w:t>
            </w:r>
          </w:p>
        </w:tc>
        <w:tc>
          <w:tcPr>
            <w:tcW w:w="5953" w:type="dxa"/>
          </w:tcPr>
          <w:p w14:paraId="16B3E583" w14:textId="13DB4D98" w:rsidR="00701ED3" w:rsidRDefault="00701ED3" w:rsidP="00701ED3">
            <w:pPr>
              <w:spacing w:before="120" w:after="120" w:line="240" w:lineRule="auto"/>
              <w:rPr>
                <w:rFonts w:eastAsia="Arial" w:cs="Arial"/>
                <w:color w:val="000000"/>
              </w:rPr>
            </w:pPr>
            <w:r w:rsidRPr="000922DC">
              <w:rPr>
                <w:color w:val="000000"/>
              </w:rPr>
              <w:t>in relation to a Key Performance Indicator, the period over which the Supplier’s performance is measured</w:t>
            </w:r>
            <w:r>
              <w:rPr>
                <w:color w:val="000000"/>
              </w:rPr>
              <w:t xml:space="preserve"> as set out against the relevant Key Performance Indicator in the Annex to Part A of this Schedule;</w:t>
            </w:r>
          </w:p>
        </w:tc>
      </w:tr>
      <w:tr w:rsidR="00701ED3" w14:paraId="4C4E4A9A" w14:textId="77777777" w:rsidTr="7901602A">
        <w:tc>
          <w:tcPr>
            <w:tcW w:w="2469" w:type="dxa"/>
          </w:tcPr>
          <w:p w14:paraId="3BAAD172" w14:textId="43F8BBFE" w:rsidR="00701ED3" w:rsidRDefault="00701ED3" w:rsidP="00701ED3">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 xml:space="preserve">"Performance Monitoring Reports" </w:t>
            </w:r>
          </w:p>
        </w:tc>
        <w:tc>
          <w:tcPr>
            <w:tcW w:w="5953" w:type="dxa"/>
          </w:tcPr>
          <w:p w14:paraId="2331E5EC" w14:textId="5BC66F97" w:rsidR="00701ED3" w:rsidRDefault="00701ED3" w:rsidP="00701ED3">
            <w:pPr>
              <w:spacing w:before="120" w:after="120" w:line="240" w:lineRule="auto"/>
              <w:rPr>
                <w:rFonts w:eastAsia="Arial" w:cs="Arial"/>
                <w:color w:val="000000"/>
              </w:rPr>
            </w:pPr>
            <w:r>
              <w:rPr>
                <w:rFonts w:eastAsia="Arial" w:cs="Arial"/>
                <w:color w:val="000000"/>
              </w:rPr>
              <w:t xml:space="preserve">has the meaning given in Paragraph </w:t>
            </w:r>
            <w:r>
              <w:rPr>
                <w:rFonts w:eastAsia="Arial" w:cs="Arial"/>
                <w:color w:val="000000"/>
              </w:rPr>
              <w:fldChar w:fldCharType="begin"/>
            </w:r>
            <w:r>
              <w:rPr>
                <w:rFonts w:eastAsia="Arial" w:cs="Arial"/>
                <w:color w:val="000000"/>
              </w:rPr>
              <w:instrText xml:space="preserve"> REF _Ref188454577 \r \h </w:instrText>
            </w:r>
            <w:r>
              <w:rPr>
                <w:rFonts w:eastAsia="Arial" w:cs="Arial"/>
                <w:color w:val="000000"/>
              </w:rPr>
            </w:r>
            <w:r>
              <w:rPr>
                <w:rFonts w:eastAsia="Arial" w:cs="Arial"/>
                <w:color w:val="000000"/>
              </w:rPr>
              <w:fldChar w:fldCharType="separate"/>
            </w:r>
            <w:r w:rsidR="00626983">
              <w:rPr>
                <w:rFonts w:eastAsia="Arial" w:cs="Arial"/>
                <w:color w:val="000000"/>
              </w:rPr>
              <w:t>1.2</w:t>
            </w:r>
            <w:r>
              <w:rPr>
                <w:rFonts w:eastAsia="Arial" w:cs="Arial"/>
                <w:color w:val="000000"/>
              </w:rPr>
              <w:fldChar w:fldCharType="end"/>
            </w:r>
            <w:r>
              <w:rPr>
                <w:rFonts w:eastAsia="Arial" w:cs="Arial"/>
                <w:color w:val="000000"/>
              </w:rPr>
              <w:t xml:space="preserve"> of Part B of this Schedule;</w:t>
            </w:r>
          </w:p>
        </w:tc>
      </w:tr>
      <w:tr w:rsidR="00701ED3" w14:paraId="4EF73441" w14:textId="77777777" w:rsidTr="7901602A">
        <w:tc>
          <w:tcPr>
            <w:tcW w:w="2469" w:type="dxa"/>
          </w:tcPr>
          <w:p w14:paraId="7F159F46" w14:textId="08C93FFA" w:rsidR="00701ED3" w:rsidRDefault="00701ED3" w:rsidP="00701ED3">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 xml:space="preserve">"Performance Review Meetings" </w:t>
            </w:r>
          </w:p>
        </w:tc>
        <w:tc>
          <w:tcPr>
            <w:tcW w:w="5953" w:type="dxa"/>
          </w:tcPr>
          <w:p w14:paraId="7B8C431A" w14:textId="1EA9EC04" w:rsidR="00701ED3" w:rsidRDefault="00701ED3" w:rsidP="00701ED3">
            <w:pPr>
              <w:spacing w:before="120" w:after="120" w:line="240" w:lineRule="auto"/>
              <w:rPr>
                <w:rFonts w:eastAsia="Arial" w:cs="Arial"/>
                <w:color w:val="000000"/>
              </w:rPr>
            </w:pPr>
            <w:r>
              <w:rPr>
                <w:rFonts w:eastAsia="Arial" w:cs="Arial"/>
                <w:color w:val="000000"/>
              </w:rPr>
              <w:t xml:space="preserve">has the meaning given in Paragraph </w:t>
            </w:r>
            <w:r>
              <w:rPr>
                <w:rFonts w:eastAsia="Arial" w:cs="Arial"/>
                <w:color w:val="000000"/>
              </w:rPr>
              <w:fldChar w:fldCharType="begin"/>
            </w:r>
            <w:r>
              <w:rPr>
                <w:rFonts w:eastAsia="Arial" w:cs="Arial"/>
                <w:color w:val="000000"/>
              </w:rPr>
              <w:instrText xml:space="preserve"> REF _Ref188454584 \r \h </w:instrText>
            </w:r>
            <w:r>
              <w:rPr>
                <w:rFonts w:eastAsia="Arial" w:cs="Arial"/>
                <w:color w:val="000000"/>
              </w:rPr>
            </w:r>
            <w:r>
              <w:rPr>
                <w:rFonts w:eastAsia="Arial" w:cs="Arial"/>
                <w:color w:val="000000"/>
              </w:rPr>
              <w:fldChar w:fldCharType="separate"/>
            </w:r>
            <w:r w:rsidR="00626983">
              <w:rPr>
                <w:rFonts w:eastAsia="Arial" w:cs="Arial"/>
                <w:color w:val="000000"/>
              </w:rPr>
              <w:t>1.3</w:t>
            </w:r>
            <w:r>
              <w:rPr>
                <w:rFonts w:eastAsia="Arial" w:cs="Arial"/>
                <w:color w:val="000000"/>
              </w:rPr>
              <w:fldChar w:fldCharType="end"/>
            </w:r>
            <w:r>
              <w:rPr>
                <w:rFonts w:eastAsia="Arial" w:cs="Arial"/>
                <w:color w:val="000000"/>
              </w:rPr>
              <w:t xml:space="preserve"> of Part B of this Schedule; </w:t>
            </w:r>
          </w:p>
        </w:tc>
      </w:tr>
      <w:tr w:rsidR="00701ED3" w14:paraId="0A053E16" w14:textId="77777777" w:rsidTr="7901602A">
        <w:tc>
          <w:tcPr>
            <w:tcW w:w="2469" w:type="dxa"/>
          </w:tcPr>
          <w:p w14:paraId="5B7AA14C" w14:textId="470C59E3" w:rsidR="00701ED3" w:rsidRDefault="00701ED3" w:rsidP="00701ED3">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"Service Credits"</w:t>
            </w:r>
          </w:p>
        </w:tc>
        <w:tc>
          <w:tcPr>
            <w:tcW w:w="5953" w:type="dxa"/>
          </w:tcPr>
          <w:p w14:paraId="0A8ACDC9" w14:textId="0D78B872" w:rsidR="00701ED3" w:rsidRDefault="00701ED3" w:rsidP="00701ED3">
            <w:pPr>
              <w:spacing w:before="120" w:after="120" w:line="240" w:lineRule="auto"/>
              <w:rPr>
                <w:rFonts w:eastAsia="Arial" w:cs="Arial"/>
                <w:color w:val="000000"/>
              </w:rPr>
            </w:pPr>
            <w:r>
              <w:rPr>
                <w:rFonts w:eastAsia="Arial" w:cs="Arial"/>
                <w:color w:val="000000"/>
              </w:rPr>
              <w:t>any service credits specified in the Annex to Part A of this Schedule being payable by the Supplier to the Buyer in respect of any failure by the Supplier to meet one or more Key Performance Indicators; and</w:t>
            </w:r>
          </w:p>
        </w:tc>
      </w:tr>
      <w:tr w:rsidR="00701ED3" w14:paraId="3AD70130" w14:textId="77777777" w:rsidTr="7901602A">
        <w:tc>
          <w:tcPr>
            <w:tcW w:w="2469" w:type="dxa"/>
          </w:tcPr>
          <w:p w14:paraId="439F8550" w14:textId="2C045B65" w:rsidR="00701ED3" w:rsidRDefault="00701ED3" w:rsidP="00701ED3">
            <w:pPr>
              <w:pBdr>
                <w:top w:val="nil"/>
                <w:left w:val="nil"/>
                <w:bottom w:val="nil"/>
                <w:right w:val="nil"/>
                <w:between w:val="nil"/>
              </w:pBdr>
              <w:spacing w:before="120" w:after="120" w:line="240" w:lineRule="auto"/>
              <w:ind w:left="-108"/>
              <w:rPr>
                <w:rFonts w:eastAsia="Arial" w:cs="Arial"/>
                <w:b/>
                <w:color w:val="000000"/>
              </w:rPr>
            </w:pPr>
            <w:r>
              <w:rPr>
                <w:rFonts w:eastAsia="Arial" w:cs="Arial"/>
                <w:b/>
                <w:color w:val="000000"/>
              </w:rPr>
              <w:t>"Service Credit Cap"</w:t>
            </w:r>
          </w:p>
        </w:tc>
        <w:tc>
          <w:tcPr>
            <w:tcW w:w="5953" w:type="dxa"/>
          </w:tcPr>
          <w:p w14:paraId="59CA2414" w14:textId="231925E9" w:rsidR="00701ED3" w:rsidRDefault="00701ED3" w:rsidP="00701ED3">
            <w:pPr>
              <w:spacing w:before="120" w:after="120" w:line="240" w:lineRule="auto"/>
              <w:rPr>
                <w:rFonts w:eastAsia="Arial" w:cs="Arial"/>
                <w:color w:val="000000"/>
              </w:rPr>
            </w:pPr>
            <w:r>
              <w:rPr>
                <w:rFonts w:eastAsia="Arial" w:cs="Arial"/>
                <w:color w:val="000000"/>
              </w:rPr>
              <w:t>has the meaning given to it in the Award Form.</w:t>
            </w:r>
          </w:p>
        </w:tc>
      </w:tr>
    </w:tbl>
    <w:p w14:paraId="570DA1A8" w14:textId="0F241B64" w:rsidR="00CA079E" w:rsidRPr="0088685B" w:rsidRDefault="00CD7298" w:rsidP="00135404">
      <w:pPr>
        <w:pStyle w:val="GPSL1CLAUSEHEADING"/>
        <w:rPr>
          <w:rFonts w:ascii="Arial" w:hAnsi="Arial"/>
        </w:rPr>
      </w:pPr>
      <w:r w:rsidRPr="0088685B">
        <w:rPr>
          <w:rFonts w:ascii="Arial" w:hAnsi="Arial"/>
        </w:rPr>
        <w:t xml:space="preserve">What happens if you don’t meet the </w:t>
      </w:r>
      <w:r w:rsidR="006D60FB" w:rsidRPr="0088685B">
        <w:rPr>
          <w:rFonts w:ascii="Arial" w:hAnsi="Arial"/>
        </w:rPr>
        <w:t>Key Performance Indicator</w:t>
      </w:r>
      <w:r w:rsidRPr="0088685B">
        <w:rPr>
          <w:rFonts w:ascii="Arial" w:hAnsi="Arial"/>
        </w:rPr>
        <w:t>s</w:t>
      </w:r>
    </w:p>
    <w:p w14:paraId="40FF8D89" w14:textId="38FCA175" w:rsidR="00CA079E" w:rsidRDefault="00CD7298" w:rsidP="00135404">
      <w:pPr>
        <w:pStyle w:val="GPSL2numberedclause"/>
        <w:rPr>
          <w:rFonts w:eastAsia="Arial"/>
          <w:b/>
        </w:rPr>
      </w:pPr>
      <w:r>
        <w:rPr>
          <w:rFonts w:eastAsia="Arial"/>
        </w:rPr>
        <w:t xml:space="preserve">The Supplier shall at all times provide the Deliverables to meet or exceed the </w:t>
      </w:r>
      <w:r w:rsidR="00E73E7F">
        <w:rPr>
          <w:rFonts w:eastAsia="Arial"/>
        </w:rPr>
        <w:t>KPI</w:t>
      </w:r>
      <w:r>
        <w:rPr>
          <w:rFonts w:eastAsia="Arial"/>
        </w:rPr>
        <w:t xml:space="preserve"> Performance Measure for each </w:t>
      </w:r>
      <w:r w:rsidR="006D60FB">
        <w:rPr>
          <w:rFonts w:eastAsia="Arial"/>
        </w:rPr>
        <w:t>Key Performance Indicator</w:t>
      </w:r>
      <w:r>
        <w:rPr>
          <w:rFonts w:eastAsia="Arial"/>
        </w:rPr>
        <w:t>.</w:t>
      </w:r>
    </w:p>
    <w:p w14:paraId="26E5A301" w14:textId="61CDBE5B" w:rsidR="00CA079E" w:rsidRDefault="00CD7298" w:rsidP="00135404">
      <w:pPr>
        <w:pStyle w:val="GPSL2numberedclause"/>
        <w:rPr>
          <w:rFonts w:eastAsia="Arial"/>
          <w:b/>
        </w:rPr>
      </w:pPr>
      <w:r>
        <w:rPr>
          <w:rFonts w:eastAsia="Arial"/>
        </w:rPr>
        <w:t xml:space="preserve">The Supplier acknowledges that any </w:t>
      </w:r>
      <w:r w:rsidR="00E73E7F">
        <w:rPr>
          <w:rFonts w:eastAsia="Arial"/>
        </w:rPr>
        <w:t>KPI Failure</w:t>
      </w:r>
      <w:r>
        <w:rPr>
          <w:rFonts w:eastAsia="Arial"/>
        </w:rPr>
        <w:t xml:space="preserve"> shall entitle the Buyer to the rights set out in Part A of this Schedule including the right to any Service Credits and that any Service Credit is a price adjustment and not an estimate of the Loss that may be suffered by the Buyer as a result of the Supplier’s failure to meet any </w:t>
      </w:r>
      <w:r w:rsidR="00E73E7F">
        <w:rPr>
          <w:rFonts w:eastAsia="Arial"/>
        </w:rPr>
        <w:t>KPI</w:t>
      </w:r>
      <w:r>
        <w:rPr>
          <w:rFonts w:eastAsia="Arial"/>
        </w:rPr>
        <w:t xml:space="preserve"> Performance Measure.</w:t>
      </w:r>
    </w:p>
    <w:p w14:paraId="52AB15DC" w14:textId="4D120200" w:rsidR="00CA079E" w:rsidRDefault="00CD7298" w:rsidP="00135404">
      <w:pPr>
        <w:pStyle w:val="GPSL2numberedclause"/>
      </w:pPr>
      <w:r>
        <w:rPr>
          <w:rFonts w:eastAsia="Arial"/>
        </w:rPr>
        <w:t xml:space="preserve">The Supplier shall send Performance Monitoring Reports to the Buyer detailing the level of service which was achieved in accordance with the </w:t>
      </w:r>
      <w:r>
        <w:rPr>
          <w:rFonts w:eastAsia="Arial"/>
        </w:rPr>
        <w:lastRenderedPageBreak/>
        <w:t>provisions of Part B (Performance Monitoring) of this Schedule</w:t>
      </w:r>
      <w:r w:rsidR="001A6841">
        <w:rPr>
          <w:rFonts w:eastAsia="Arial"/>
        </w:rPr>
        <w:t xml:space="preserve"> </w:t>
      </w:r>
      <w:r w:rsidR="001A6841">
        <w:rPr>
          <w:rFonts w:eastAsia="Arial"/>
          <w:color w:val="000000"/>
        </w:rPr>
        <w:t>to enable the Buyer to assess the Supplier’s performance against each Key Performance Indicator in each Measurement Period</w:t>
      </w:r>
      <w:r>
        <w:rPr>
          <w:rFonts w:eastAsia="Arial"/>
        </w:rPr>
        <w:t>.</w:t>
      </w:r>
    </w:p>
    <w:p w14:paraId="0872711E" w14:textId="449DFE59" w:rsidR="00CA079E" w:rsidRDefault="00CD7298" w:rsidP="00135404">
      <w:pPr>
        <w:pStyle w:val="GPSL2numberedclause"/>
        <w:rPr>
          <w:rFonts w:eastAsia="Arial"/>
          <w:b/>
        </w:rPr>
      </w:pPr>
      <w:r>
        <w:rPr>
          <w:rFonts w:eastAsia="Arial"/>
        </w:rPr>
        <w:t xml:space="preserve">A Service Credit shall be the Buyer’s exclusive financial remedy for a </w:t>
      </w:r>
      <w:r w:rsidR="0050634D">
        <w:rPr>
          <w:rFonts w:eastAsia="Arial"/>
        </w:rPr>
        <w:t>KPI F</w:t>
      </w:r>
      <w:r w:rsidR="00E73E7F">
        <w:rPr>
          <w:rFonts w:eastAsia="Arial"/>
        </w:rPr>
        <w:t>ailure</w:t>
      </w:r>
      <w:r>
        <w:rPr>
          <w:rFonts w:eastAsia="Arial"/>
        </w:rPr>
        <w:t xml:space="preserve"> except where:</w:t>
      </w:r>
    </w:p>
    <w:p w14:paraId="296A375C" w14:textId="617CC598" w:rsidR="00CA079E" w:rsidRDefault="00CD7298" w:rsidP="00CE121F">
      <w:pPr>
        <w:pStyle w:val="GPSL3numberedclause"/>
      </w:pPr>
      <w:r>
        <w:rPr>
          <w:rFonts w:eastAsia="Arial"/>
        </w:rPr>
        <w:t xml:space="preserve">the Supplier has over the previous twelve </w:t>
      </w:r>
      <w:r w:rsidR="00BE61DD">
        <w:rPr>
          <w:rFonts w:eastAsia="Arial"/>
        </w:rPr>
        <w:t>(</w:t>
      </w:r>
      <w:r>
        <w:rPr>
          <w:rFonts w:eastAsia="Arial"/>
        </w:rPr>
        <w:t>12</w:t>
      </w:r>
      <w:r w:rsidR="00BE61DD">
        <w:rPr>
          <w:rFonts w:eastAsia="Arial"/>
        </w:rPr>
        <w:t>)</w:t>
      </w:r>
      <w:r>
        <w:rPr>
          <w:rFonts w:eastAsia="Arial"/>
        </w:rPr>
        <w:t xml:space="preserve"> Month period exceeded the Service Credit Cap; and/or</w:t>
      </w:r>
    </w:p>
    <w:p w14:paraId="6ADA8562" w14:textId="131A91E3" w:rsidR="00CA079E" w:rsidRDefault="00CD7298" w:rsidP="00CE121F">
      <w:pPr>
        <w:pStyle w:val="GPSL3numberedclause"/>
      </w:pPr>
      <w:r>
        <w:rPr>
          <w:rFonts w:eastAsia="Arial"/>
        </w:rPr>
        <w:t xml:space="preserve">the </w:t>
      </w:r>
      <w:r w:rsidR="0050634D">
        <w:rPr>
          <w:rFonts w:eastAsia="Arial"/>
        </w:rPr>
        <w:t>KPI F</w:t>
      </w:r>
      <w:r w:rsidR="00E73E7F">
        <w:rPr>
          <w:rFonts w:eastAsia="Arial"/>
        </w:rPr>
        <w:t>ailure</w:t>
      </w:r>
      <w:r>
        <w:rPr>
          <w:rFonts w:eastAsia="Arial"/>
        </w:rPr>
        <w:t>:</w:t>
      </w:r>
    </w:p>
    <w:p w14:paraId="5C3BECF2" w14:textId="0E512844" w:rsidR="00CA079E" w:rsidRDefault="00CD7298" w:rsidP="00CE121F">
      <w:pPr>
        <w:pStyle w:val="GPSL4numberedclause"/>
      </w:pPr>
      <w:r>
        <w:rPr>
          <w:rFonts w:eastAsia="Arial"/>
        </w:rPr>
        <w:t xml:space="preserve">exceeds the relevant </w:t>
      </w:r>
      <w:r w:rsidR="0050634D">
        <w:rPr>
          <w:rFonts w:eastAsia="Arial"/>
        </w:rPr>
        <w:t>KPI</w:t>
      </w:r>
      <w:r>
        <w:rPr>
          <w:rFonts w:eastAsia="Arial"/>
        </w:rPr>
        <w:t xml:space="preserve"> Threshold;</w:t>
      </w:r>
    </w:p>
    <w:p w14:paraId="01FDF2EF" w14:textId="6922C976" w:rsidR="00CA079E" w:rsidRDefault="00CD7298" w:rsidP="00CE121F">
      <w:pPr>
        <w:pStyle w:val="GPSL4numberedclause"/>
        <w:rPr>
          <w:rFonts w:eastAsia="Arial"/>
        </w:rPr>
      </w:pPr>
      <w:r>
        <w:rPr>
          <w:rFonts w:eastAsia="Arial"/>
        </w:rPr>
        <w:t xml:space="preserve">has arisen due to a wilful Default by the Supplier; </w:t>
      </w:r>
    </w:p>
    <w:p w14:paraId="065D6756" w14:textId="0884B10A" w:rsidR="00CA079E" w:rsidRDefault="00CD7298" w:rsidP="00CE121F">
      <w:pPr>
        <w:pStyle w:val="GPSL4numberedclause"/>
        <w:rPr>
          <w:rFonts w:eastAsia="Arial"/>
        </w:rPr>
      </w:pPr>
      <w:r>
        <w:rPr>
          <w:rFonts w:eastAsia="Arial"/>
        </w:rPr>
        <w:t>results in the corruption or loss of any Government Data</w:t>
      </w:r>
      <w:r w:rsidR="00D6282E">
        <w:rPr>
          <w:rFonts w:eastAsia="Arial"/>
        </w:rPr>
        <w:t xml:space="preserve"> (in which case </w:t>
      </w:r>
      <w:r w:rsidR="00474F3D">
        <w:rPr>
          <w:rFonts w:eastAsia="Arial"/>
        </w:rPr>
        <w:t>the indemnity in Clause 18.</w:t>
      </w:r>
      <w:r w:rsidR="0088685B">
        <w:rPr>
          <w:rFonts w:eastAsia="Arial"/>
        </w:rPr>
        <w:t>6</w:t>
      </w:r>
      <w:r w:rsidR="00474F3D">
        <w:rPr>
          <w:rFonts w:eastAsia="Arial"/>
        </w:rPr>
        <w:t xml:space="preserve">.4 and any or all of the other provisions of </w:t>
      </w:r>
      <w:r w:rsidR="00D6282E">
        <w:rPr>
          <w:rFonts w:eastAsia="Arial"/>
        </w:rPr>
        <w:t>Clauses 18.</w:t>
      </w:r>
      <w:r w:rsidR="0088685B">
        <w:rPr>
          <w:rFonts w:eastAsia="Arial"/>
        </w:rPr>
        <w:t>4</w:t>
      </w:r>
      <w:r w:rsidR="00D6282E" w:rsidRPr="0088685B">
        <w:rPr>
          <w:rFonts w:eastAsia="Arial"/>
        </w:rPr>
        <w:t xml:space="preserve"> and 18.</w:t>
      </w:r>
      <w:r w:rsidR="00474F3D">
        <w:rPr>
          <w:rFonts w:eastAsia="Arial"/>
        </w:rPr>
        <w:t>5</w:t>
      </w:r>
      <w:r w:rsidR="00D6282E">
        <w:rPr>
          <w:rFonts w:eastAsia="Arial"/>
        </w:rPr>
        <w:t xml:space="preserve"> and</w:t>
      </w:r>
      <w:r w:rsidR="00474F3D">
        <w:rPr>
          <w:rFonts w:eastAsia="Arial"/>
        </w:rPr>
        <w:t>/or</w:t>
      </w:r>
      <w:r w:rsidR="00D6282E">
        <w:rPr>
          <w:rFonts w:eastAsia="Arial"/>
        </w:rPr>
        <w:t xml:space="preserve"> Clause 18.</w:t>
      </w:r>
      <w:r w:rsidR="0088685B">
        <w:rPr>
          <w:rFonts w:eastAsia="Arial"/>
        </w:rPr>
        <w:t>6</w:t>
      </w:r>
      <w:r w:rsidR="00D6282E">
        <w:rPr>
          <w:rFonts w:eastAsia="Arial"/>
        </w:rPr>
        <w:t xml:space="preserve"> </w:t>
      </w:r>
      <w:r w:rsidR="00474F3D">
        <w:rPr>
          <w:rFonts w:eastAsia="Arial"/>
        </w:rPr>
        <w:t xml:space="preserve">of the Core Terms </w:t>
      </w:r>
      <w:r w:rsidR="00D6282E">
        <w:rPr>
          <w:rFonts w:eastAsia="Arial"/>
        </w:rPr>
        <w:t>may apply)</w:t>
      </w:r>
      <w:r>
        <w:rPr>
          <w:rFonts w:eastAsia="Arial"/>
        </w:rPr>
        <w:t>; and/or</w:t>
      </w:r>
    </w:p>
    <w:p w14:paraId="4851FDAD" w14:textId="77777777" w:rsidR="00CA079E" w:rsidRDefault="00CD7298" w:rsidP="00CE121F">
      <w:pPr>
        <w:pStyle w:val="GPSL4numberedclause"/>
        <w:rPr>
          <w:rFonts w:eastAsia="Arial"/>
        </w:rPr>
      </w:pPr>
      <w:r>
        <w:rPr>
          <w:rFonts w:eastAsia="Arial"/>
        </w:rPr>
        <w:t>results in the Buyer being required to make a compensation payment to one or more third parties; and/or</w:t>
      </w:r>
    </w:p>
    <w:p w14:paraId="0C7D9F7F" w14:textId="77777777" w:rsidR="00CA079E" w:rsidRDefault="00CD7298" w:rsidP="00CE121F">
      <w:pPr>
        <w:pStyle w:val="GPSL4numberedclause"/>
        <w:rPr>
          <w:rFonts w:eastAsia="Arial"/>
        </w:rPr>
      </w:pPr>
      <w:r>
        <w:rPr>
          <w:rFonts w:eastAsia="Arial"/>
        </w:rPr>
        <w:t xml:space="preserve">the Buyer is also entitled to or does terminate this Contract pursuant to Clause 14.4 of the Core Terms </w:t>
      </w:r>
      <w:r w:rsidRPr="0088685B">
        <w:rPr>
          <w:rFonts w:eastAsia="Arial"/>
          <w:i/>
        </w:rPr>
        <w:t>(When the Buyer can end the contract)</w:t>
      </w:r>
      <w:r>
        <w:rPr>
          <w:rFonts w:eastAsia="Arial"/>
        </w:rPr>
        <w:t>.</w:t>
      </w:r>
    </w:p>
    <w:p w14:paraId="728B4E06" w14:textId="4A9AEF5B" w:rsidR="00CA079E" w:rsidRPr="0088685B" w:rsidRDefault="00CD7298" w:rsidP="00135404">
      <w:pPr>
        <w:pStyle w:val="GPSL1CLAUSEHEADING"/>
        <w:rPr>
          <w:rFonts w:ascii="Arial" w:hAnsi="Arial"/>
        </w:rPr>
      </w:pPr>
      <w:bookmarkStart w:id="1" w:name="_heading=h.1fob9te" w:colFirst="0" w:colLast="0"/>
      <w:bookmarkStart w:id="2" w:name="_Ref141096171"/>
      <w:bookmarkEnd w:id="1"/>
      <w:r w:rsidRPr="0088685B">
        <w:rPr>
          <w:rFonts w:ascii="Arial" w:hAnsi="Arial"/>
        </w:rPr>
        <w:t xml:space="preserve">Critical </w:t>
      </w:r>
      <w:r w:rsidR="00C01161" w:rsidRPr="0088685B">
        <w:rPr>
          <w:rFonts w:ascii="Arial" w:hAnsi="Arial"/>
        </w:rPr>
        <w:t xml:space="preserve">KPI </w:t>
      </w:r>
      <w:r w:rsidRPr="0088685B">
        <w:rPr>
          <w:rFonts w:ascii="Arial" w:hAnsi="Arial"/>
        </w:rPr>
        <w:t>Failure</w:t>
      </w:r>
      <w:bookmarkEnd w:id="2"/>
    </w:p>
    <w:p w14:paraId="653D1DF6" w14:textId="685112BC" w:rsidR="00CA079E" w:rsidRDefault="00CD7298" w:rsidP="00147AB8">
      <w:pPr>
        <w:keepNext/>
        <w:pBdr>
          <w:top w:val="nil"/>
          <w:left w:val="nil"/>
          <w:bottom w:val="nil"/>
          <w:right w:val="nil"/>
          <w:between w:val="nil"/>
        </w:pBdr>
        <w:spacing w:before="120" w:after="120" w:line="240" w:lineRule="auto"/>
        <w:ind w:left="907" w:hanging="547"/>
        <w:rPr>
          <w:rFonts w:eastAsia="Arial" w:cs="Arial"/>
          <w:color w:val="000000"/>
        </w:rPr>
      </w:pPr>
      <w:r>
        <w:rPr>
          <w:rFonts w:eastAsia="Arial" w:cs="Arial"/>
          <w:color w:val="000000"/>
        </w:rPr>
        <w:t xml:space="preserve">On the occurrence of a Critical </w:t>
      </w:r>
      <w:r w:rsidR="00C01161">
        <w:rPr>
          <w:rFonts w:eastAsia="Arial" w:cs="Arial"/>
          <w:color w:val="000000"/>
        </w:rPr>
        <w:t xml:space="preserve">KPI </w:t>
      </w:r>
      <w:r>
        <w:rPr>
          <w:rFonts w:eastAsia="Arial" w:cs="Arial"/>
          <w:color w:val="000000"/>
        </w:rPr>
        <w:t>Failure:</w:t>
      </w:r>
    </w:p>
    <w:p w14:paraId="74B341DA" w14:textId="77777777" w:rsidR="00CA079E" w:rsidRDefault="00CD7298" w:rsidP="00135404">
      <w:pPr>
        <w:pStyle w:val="GPSL2numberedclause"/>
      </w:pPr>
      <w:r>
        <w:rPr>
          <w:rFonts w:eastAsia="Arial"/>
        </w:rPr>
        <w:t>any Service Credits that would otherwise have accrued during the relevant Service Period shall not accrue; and</w:t>
      </w:r>
    </w:p>
    <w:p w14:paraId="1BF24015" w14:textId="18E4C1BD" w:rsidR="00CA079E" w:rsidRDefault="00CD7298" w:rsidP="00135404">
      <w:pPr>
        <w:pStyle w:val="GPSL2numberedclause"/>
      </w:pPr>
      <w:r>
        <w:rPr>
          <w:rFonts w:eastAsia="Arial"/>
        </w:rPr>
        <w:t>the Buyer shall (subject to the Service Credit Cap) be entitled to withhold and retain as compensation a sum equal to any Charges which would otherwise have been due to the Supplier in respect of that Service Period (</w:t>
      </w:r>
      <w:r w:rsidRPr="005127A9">
        <w:rPr>
          <w:rFonts w:eastAsia="Arial"/>
          <w:b/>
        </w:rPr>
        <w:t>"</w:t>
      </w:r>
      <w:r>
        <w:rPr>
          <w:rFonts w:eastAsia="Arial"/>
          <w:b/>
        </w:rPr>
        <w:t xml:space="preserve">Compensation for Critical </w:t>
      </w:r>
      <w:r w:rsidR="00C01161">
        <w:rPr>
          <w:rFonts w:eastAsia="Arial"/>
          <w:b/>
        </w:rPr>
        <w:t>KPI</w:t>
      </w:r>
      <w:r w:rsidR="00587AFB">
        <w:rPr>
          <w:rFonts w:eastAsia="Arial"/>
          <w:b/>
        </w:rPr>
        <w:t xml:space="preserve"> </w:t>
      </w:r>
      <w:r>
        <w:rPr>
          <w:rFonts w:eastAsia="Arial"/>
          <w:b/>
        </w:rPr>
        <w:t>Failure</w:t>
      </w:r>
      <w:r w:rsidRPr="005127A9">
        <w:rPr>
          <w:rFonts w:eastAsia="Arial"/>
          <w:b/>
        </w:rPr>
        <w:t>"</w:t>
      </w:r>
      <w:r>
        <w:rPr>
          <w:rFonts w:eastAsia="Arial"/>
        </w:rPr>
        <w:t>),</w:t>
      </w:r>
    </w:p>
    <w:p w14:paraId="37913115" w14:textId="02F64402" w:rsidR="00CA079E" w:rsidRDefault="00CD7298" w:rsidP="00147AB8">
      <w:pPr>
        <w:pBdr>
          <w:top w:val="nil"/>
          <w:left w:val="nil"/>
          <w:bottom w:val="nil"/>
          <w:right w:val="nil"/>
          <w:between w:val="nil"/>
        </w:pBdr>
        <w:spacing w:before="120" w:after="120" w:line="240" w:lineRule="auto"/>
        <w:ind w:left="426"/>
        <w:rPr>
          <w:rFonts w:eastAsia="Arial" w:cs="Arial"/>
          <w:color w:val="000000"/>
        </w:rPr>
      </w:pPr>
      <w:r>
        <w:rPr>
          <w:rFonts w:eastAsia="Arial" w:cs="Arial"/>
          <w:color w:val="000000"/>
        </w:rPr>
        <w:t xml:space="preserve">provided that the operation of this Paragraph </w:t>
      </w:r>
      <w:r w:rsidR="00147AB8" w:rsidRPr="0088685B">
        <w:rPr>
          <w:rFonts w:eastAsia="Arial" w:cs="Arial"/>
          <w:color w:val="000000"/>
        </w:rPr>
        <w:fldChar w:fldCharType="begin"/>
      </w:r>
      <w:r w:rsidR="00147AB8" w:rsidRPr="0088685B">
        <w:rPr>
          <w:rFonts w:eastAsia="Arial" w:cs="Arial"/>
          <w:color w:val="000000"/>
        </w:rPr>
        <w:instrText xml:space="preserve"> REF _Ref141096171 \w \h </w:instrText>
      </w:r>
      <w:r w:rsidR="0088685B">
        <w:rPr>
          <w:rFonts w:eastAsia="Arial" w:cs="Arial"/>
          <w:color w:val="000000"/>
        </w:rPr>
        <w:instrText xml:space="preserve"> \* MERGEFORMAT </w:instrText>
      </w:r>
      <w:r w:rsidR="00147AB8" w:rsidRPr="0088685B">
        <w:rPr>
          <w:rFonts w:eastAsia="Arial" w:cs="Arial"/>
          <w:color w:val="000000"/>
        </w:rPr>
      </w:r>
      <w:r w:rsidR="00147AB8" w:rsidRPr="0088685B">
        <w:rPr>
          <w:rFonts w:eastAsia="Arial" w:cs="Arial"/>
          <w:color w:val="000000"/>
        </w:rPr>
        <w:fldChar w:fldCharType="separate"/>
      </w:r>
      <w:r w:rsidR="00626983">
        <w:rPr>
          <w:rFonts w:eastAsia="Arial" w:cs="Arial"/>
          <w:color w:val="000000"/>
        </w:rPr>
        <w:t>3</w:t>
      </w:r>
      <w:r w:rsidR="00147AB8" w:rsidRPr="0088685B">
        <w:rPr>
          <w:rFonts w:eastAsia="Arial" w:cs="Arial"/>
          <w:color w:val="000000"/>
        </w:rPr>
        <w:fldChar w:fldCharType="end"/>
      </w:r>
      <w:r>
        <w:rPr>
          <w:rFonts w:eastAsia="Arial" w:cs="Arial"/>
          <w:color w:val="000000"/>
        </w:rPr>
        <w:t xml:space="preserve"> shall be without prejudice to the right of the Buyer to terminate this Contract and/or to claim damages from the Supplier for Material Default.</w:t>
      </w:r>
    </w:p>
    <w:p w14:paraId="5814C918" w14:textId="77777777" w:rsidR="00CA079E" w:rsidRPr="0088685B" w:rsidRDefault="00CA079E">
      <w:pPr>
        <w:rPr>
          <w:rFonts w:cs="Arial"/>
        </w:rPr>
      </w:pPr>
    </w:p>
    <w:p w14:paraId="30738F16" w14:textId="29972B9A" w:rsidR="00CA079E" w:rsidRPr="0088685B" w:rsidRDefault="00CD7298">
      <w:pPr>
        <w:pBdr>
          <w:top w:val="nil"/>
          <w:left w:val="nil"/>
          <w:bottom w:val="nil"/>
          <w:right w:val="nil"/>
          <w:between w:val="nil"/>
        </w:pBdr>
        <w:rPr>
          <w:rFonts w:eastAsia="Arial Bold" w:cs="Arial"/>
          <w:b/>
          <w:color w:val="000000"/>
          <w:sz w:val="36"/>
          <w:szCs w:val="36"/>
        </w:rPr>
      </w:pPr>
      <w:r w:rsidRPr="0088685B">
        <w:rPr>
          <w:rFonts w:cs="Arial"/>
        </w:rPr>
        <w:br w:type="page"/>
      </w:r>
      <w:r w:rsidRPr="0088685B">
        <w:rPr>
          <w:rFonts w:eastAsia="Arial Bold" w:cs="Arial"/>
          <w:b/>
          <w:color w:val="000000"/>
          <w:sz w:val="36"/>
          <w:szCs w:val="36"/>
        </w:rPr>
        <w:lastRenderedPageBreak/>
        <w:t xml:space="preserve">Part </w:t>
      </w:r>
      <w:bookmarkStart w:id="3" w:name="Part_A"/>
      <w:r w:rsidRPr="00B54538">
        <w:rPr>
          <w:rFonts w:eastAsia="Arial Bold" w:cs="Arial"/>
          <w:b/>
          <w:color w:val="000000"/>
          <w:sz w:val="36"/>
          <w:szCs w:val="36"/>
        </w:rPr>
        <w:t>A</w:t>
      </w:r>
      <w:bookmarkEnd w:id="3"/>
      <w:r w:rsidRPr="0088685B">
        <w:rPr>
          <w:rFonts w:eastAsia="Arial Bold" w:cs="Arial"/>
          <w:b/>
          <w:color w:val="000000"/>
          <w:sz w:val="36"/>
          <w:szCs w:val="36"/>
        </w:rPr>
        <w:t xml:space="preserve">: </w:t>
      </w:r>
      <w:r w:rsidR="006D60FB" w:rsidRPr="0088685B">
        <w:rPr>
          <w:rFonts w:eastAsia="Arial Bold" w:cs="Arial"/>
          <w:b/>
          <w:color w:val="000000"/>
          <w:sz w:val="36"/>
          <w:szCs w:val="36"/>
        </w:rPr>
        <w:t>Key Performance Indicator</w:t>
      </w:r>
      <w:r w:rsidRPr="0088685B">
        <w:rPr>
          <w:rFonts w:eastAsia="Arial Bold" w:cs="Arial"/>
          <w:b/>
          <w:color w:val="000000"/>
          <w:sz w:val="36"/>
          <w:szCs w:val="36"/>
        </w:rPr>
        <w:t xml:space="preserve">s and Service Credits </w:t>
      </w:r>
    </w:p>
    <w:p w14:paraId="5C451203" w14:textId="11E3E72A" w:rsidR="00CA079E" w:rsidRPr="0088685B" w:rsidRDefault="006D60FB" w:rsidP="00135404">
      <w:pPr>
        <w:pStyle w:val="GPSL1CLAUSEHEADING"/>
        <w:numPr>
          <w:ilvl w:val="0"/>
          <w:numId w:val="12"/>
        </w:numPr>
        <w:rPr>
          <w:rFonts w:ascii="Arial" w:hAnsi="Arial"/>
        </w:rPr>
      </w:pPr>
      <w:r w:rsidRPr="0088685B">
        <w:rPr>
          <w:rFonts w:ascii="Arial" w:hAnsi="Arial"/>
        </w:rPr>
        <w:t>Key Performance Indicator</w:t>
      </w:r>
      <w:r w:rsidR="00CD7298" w:rsidRPr="0088685B">
        <w:rPr>
          <w:rFonts w:ascii="Arial" w:hAnsi="Arial"/>
        </w:rPr>
        <w:t>s</w:t>
      </w:r>
    </w:p>
    <w:p w14:paraId="60D0E0D1" w14:textId="77777777" w:rsidR="00CA079E" w:rsidRPr="0088685B" w:rsidRDefault="00CD7298">
      <w:pPr>
        <w:keepNext/>
        <w:spacing w:before="120" w:after="120" w:line="240" w:lineRule="auto"/>
        <w:ind w:left="360"/>
        <w:rPr>
          <w:rFonts w:cs="Arial"/>
        </w:rPr>
      </w:pPr>
      <w:r w:rsidRPr="0088685B">
        <w:rPr>
          <w:rFonts w:cs="Arial"/>
        </w:rPr>
        <w:t>If the level of performance of the Supplier:</w:t>
      </w:r>
    </w:p>
    <w:p w14:paraId="484DA910" w14:textId="7A95E030" w:rsidR="00CA079E" w:rsidRDefault="00CD7298" w:rsidP="00135404">
      <w:pPr>
        <w:pStyle w:val="GPSL2numberedclause"/>
      </w:pPr>
      <w:r>
        <w:rPr>
          <w:rFonts w:eastAsia="Arial"/>
        </w:rPr>
        <w:t xml:space="preserve">is likely to or fails to meet any </w:t>
      </w:r>
      <w:r w:rsidR="00587AFB">
        <w:rPr>
          <w:rFonts w:eastAsia="Arial"/>
        </w:rPr>
        <w:t>KPI</w:t>
      </w:r>
      <w:r>
        <w:rPr>
          <w:rFonts w:eastAsia="Arial"/>
        </w:rPr>
        <w:t xml:space="preserve"> Performance Measure; or</w:t>
      </w:r>
    </w:p>
    <w:p w14:paraId="665B9D4E" w14:textId="71D2ADF3" w:rsidR="00CA079E" w:rsidRDefault="00CD7298" w:rsidP="00135404">
      <w:pPr>
        <w:pStyle w:val="GPSL2numberedclause"/>
      </w:pPr>
      <w:r>
        <w:rPr>
          <w:rFonts w:eastAsia="Arial"/>
        </w:rPr>
        <w:t xml:space="preserve">is likely to cause or causes a Critical </w:t>
      </w:r>
      <w:r w:rsidR="00C01161">
        <w:rPr>
          <w:rFonts w:eastAsia="Arial"/>
        </w:rPr>
        <w:t xml:space="preserve">KPI </w:t>
      </w:r>
      <w:r>
        <w:rPr>
          <w:rFonts w:eastAsia="Arial"/>
        </w:rPr>
        <w:t xml:space="preserve">Failure to occur, </w:t>
      </w:r>
    </w:p>
    <w:p w14:paraId="63AEB903" w14:textId="77777777" w:rsidR="00CA079E" w:rsidRPr="0088685B" w:rsidRDefault="00CD7298">
      <w:pPr>
        <w:keepNext/>
        <w:spacing w:before="120" w:after="120" w:line="240" w:lineRule="auto"/>
        <w:ind w:left="360"/>
        <w:rPr>
          <w:rFonts w:cs="Arial"/>
        </w:rPr>
      </w:pPr>
      <w:r w:rsidRPr="0088685B">
        <w:rPr>
          <w:rFonts w:cs="Arial"/>
        </w:rPr>
        <w:t>the Supplier shall immediately notify the Buyer in writing and the Buyer, in its absolute discretion and without limiting any other of its rights, may:</w:t>
      </w:r>
    </w:p>
    <w:p w14:paraId="40FC95B6" w14:textId="0D3C189D" w:rsidR="00CA079E" w:rsidRDefault="00CD7298" w:rsidP="00135404">
      <w:pPr>
        <w:pStyle w:val="GPSL3numberedclause"/>
      </w:pPr>
      <w:r>
        <w:t xml:space="preserve">require the Supplier to immediately take all remedial action that is reasonable to mitigate the impact on the Buyer and to rectify or prevent a </w:t>
      </w:r>
      <w:r w:rsidR="0076748B">
        <w:t>KPI F</w:t>
      </w:r>
      <w:r w:rsidR="00E73E7F">
        <w:t>ailure</w:t>
      </w:r>
      <w:r>
        <w:t xml:space="preserve"> or Critical </w:t>
      </w:r>
      <w:r w:rsidR="00C01161">
        <w:t>KPI F</w:t>
      </w:r>
      <w:r w:rsidR="00E73E7F">
        <w:t>ailure</w:t>
      </w:r>
      <w:r>
        <w:t xml:space="preserve"> from taking place or recurring; </w:t>
      </w:r>
    </w:p>
    <w:p w14:paraId="350836FE" w14:textId="77777777" w:rsidR="00CA079E" w:rsidRDefault="00CD7298" w:rsidP="00135404">
      <w:pPr>
        <w:pStyle w:val="GPSL3numberedclause"/>
      </w:pPr>
      <w:r>
        <w:t xml:space="preserve">instruct the Supplier to comply with the Rectification Plan Process; </w:t>
      </w:r>
    </w:p>
    <w:p w14:paraId="173279E1" w14:textId="41E2D07A" w:rsidR="00CA079E" w:rsidRDefault="00CD7298" w:rsidP="00135404">
      <w:pPr>
        <w:pStyle w:val="GPSL3numberedclause"/>
      </w:pPr>
      <w:r>
        <w:t xml:space="preserve">if a </w:t>
      </w:r>
      <w:r w:rsidR="00E73E7F">
        <w:t xml:space="preserve">KPI </w:t>
      </w:r>
      <w:r w:rsidR="00C01161">
        <w:t>F</w:t>
      </w:r>
      <w:r w:rsidR="00E73E7F">
        <w:t>ailure</w:t>
      </w:r>
      <w:r>
        <w:t xml:space="preserve"> has occurred, deduct the applicable Service Credits payable by the Supplier to the Buyer; and/or</w:t>
      </w:r>
    </w:p>
    <w:p w14:paraId="067A6AC8" w14:textId="67EC756C" w:rsidR="00CA079E" w:rsidRDefault="00CD7298" w:rsidP="00135404">
      <w:pPr>
        <w:pStyle w:val="GPSL3numberedclause"/>
      </w:pPr>
      <w:r>
        <w:t xml:space="preserve">if a Critical </w:t>
      </w:r>
      <w:r w:rsidR="00E73E7F">
        <w:t xml:space="preserve">KPI </w:t>
      </w:r>
      <w:r w:rsidR="00C01161">
        <w:t xml:space="preserve">Failure </w:t>
      </w:r>
      <w:r>
        <w:t xml:space="preserve">has occurred, exercise its right to Compensation for Critical </w:t>
      </w:r>
      <w:r w:rsidR="00E73E7F">
        <w:t xml:space="preserve">KPI </w:t>
      </w:r>
      <w:r w:rsidR="00C01161">
        <w:t xml:space="preserve">Failure </w:t>
      </w:r>
      <w:r>
        <w:t>(including the right to terminate for Material Default and the consequences of termination in Clause 14.5.1 shall apply).</w:t>
      </w:r>
    </w:p>
    <w:p w14:paraId="215F3D6B" w14:textId="52DF1D71" w:rsidR="00CA079E" w:rsidRPr="0088685B" w:rsidRDefault="00CD7298" w:rsidP="00135404">
      <w:pPr>
        <w:pStyle w:val="GPSL1CLAUSEHEADING"/>
        <w:rPr>
          <w:rFonts w:ascii="Arial" w:hAnsi="Arial"/>
        </w:rPr>
      </w:pPr>
      <w:r w:rsidRPr="0088685B">
        <w:rPr>
          <w:rFonts w:ascii="Arial" w:hAnsi="Arial"/>
        </w:rPr>
        <w:t>Service Credits</w:t>
      </w:r>
      <w:r w:rsidR="00D358CF">
        <w:rPr>
          <w:rFonts w:ascii="Arial" w:hAnsi="Arial"/>
        </w:rPr>
        <w:t xml:space="preserve"> – </w:t>
      </w:r>
      <w:r w:rsidR="002C5600">
        <w:rPr>
          <w:rFonts w:ascii="Arial" w:hAnsi="Arial"/>
        </w:rPr>
        <w:t>See</w:t>
      </w:r>
      <w:r w:rsidR="0011443F">
        <w:rPr>
          <w:rFonts w:ascii="Arial" w:hAnsi="Arial"/>
        </w:rPr>
        <w:t xml:space="preserve"> Annex </w:t>
      </w:r>
    </w:p>
    <w:p w14:paraId="5DC405A4" w14:textId="77777777" w:rsidR="00CA079E" w:rsidRDefault="00CD7298" w:rsidP="00135404">
      <w:pPr>
        <w:pStyle w:val="GPSL2numberedclause"/>
      </w:pPr>
      <w:r>
        <w:rPr>
          <w:rFonts w:eastAsia="Arial"/>
        </w:rPr>
        <w:t>The Buyer shall use the Performance Monitoring Reports supplied by the Supplier to verify the calculation and accuracy of the Service Credits, if any, applicable to each Service Period.</w:t>
      </w:r>
    </w:p>
    <w:p w14:paraId="44194144" w14:textId="77777777" w:rsidR="00CA079E" w:rsidRDefault="00CD7298" w:rsidP="00135404">
      <w:pPr>
        <w:pStyle w:val="GPSL2numberedclause"/>
      </w:pPr>
      <w:r>
        <w:rPr>
          <w:rFonts w:eastAsia="Arial"/>
        </w:rPr>
        <w:t xml:space="preserve">Service Credits are a reduction of the amounts payable in respect of the Deliverables and do not include VAT. The Supplier shall set-off the value of any Service Credits against the appropriate invoice in accordance with calculation formula in the Annex to Part A of this Schedule. </w:t>
      </w:r>
    </w:p>
    <w:p w14:paraId="17E99BA2" w14:textId="09015FBB" w:rsidR="00CA079E" w:rsidRPr="0088685B" w:rsidRDefault="00CD7298" w:rsidP="78031A2C">
      <w:pPr>
        <w:keepNext/>
        <w:pBdr>
          <w:top w:val="nil"/>
          <w:left w:val="nil"/>
          <w:bottom w:val="nil"/>
          <w:right w:val="nil"/>
          <w:between w:val="nil"/>
        </w:pBdr>
        <w:rPr>
          <w:rFonts w:eastAsia="Arial Bold" w:cs="Arial"/>
          <w:b/>
          <w:bCs/>
          <w:color w:val="000000"/>
        </w:rPr>
      </w:pPr>
      <w:r w:rsidRPr="78031A2C">
        <w:rPr>
          <w:rFonts w:cs="Arial"/>
        </w:rPr>
        <w:br w:type="page"/>
      </w:r>
      <w:r w:rsidRPr="78031A2C">
        <w:rPr>
          <w:rFonts w:eastAsia="Arial Bold" w:cs="Arial"/>
          <w:b/>
          <w:bCs/>
          <w:color w:val="000000" w:themeColor="text1"/>
          <w:sz w:val="36"/>
          <w:szCs w:val="36"/>
        </w:rPr>
        <w:lastRenderedPageBreak/>
        <w:t xml:space="preserve">Annex to Part A: </w:t>
      </w:r>
      <w:r w:rsidR="006D60FB" w:rsidRPr="78031A2C">
        <w:rPr>
          <w:rFonts w:eastAsia="Arial Bold" w:cs="Arial"/>
          <w:b/>
          <w:bCs/>
          <w:color w:val="000000" w:themeColor="text1"/>
          <w:sz w:val="36"/>
          <w:szCs w:val="36"/>
        </w:rPr>
        <w:t>Key Performance Indicator</w:t>
      </w:r>
      <w:r w:rsidRPr="78031A2C">
        <w:rPr>
          <w:rFonts w:eastAsia="Arial Bold" w:cs="Arial"/>
          <w:b/>
          <w:bCs/>
          <w:color w:val="000000" w:themeColor="text1"/>
          <w:sz w:val="36"/>
          <w:szCs w:val="36"/>
        </w:rPr>
        <w:t xml:space="preserve">s </w:t>
      </w:r>
    </w:p>
    <w:p w14:paraId="26157D6B" w14:textId="5A7B1BE9" w:rsidR="0011443F" w:rsidRPr="0011443F" w:rsidRDefault="0011443F" w:rsidP="0011443F">
      <w:pPr>
        <w:pStyle w:val="GPSL1CLAUSEHEADING"/>
        <w:rPr>
          <w:rFonts w:eastAsia="Times New Roman"/>
          <w:lang w:eastAsia="en-US"/>
        </w:rPr>
      </w:pPr>
      <w:r w:rsidRPr="0011443F">
        <w:t xml:space="preserve">Key Performance Indicators (KPIs) </w:t>
      </w:r>
    </w:p>
    <w:p w14:paraId="21792726" w14:textId="77777777" w:rsidR="0011443F" w:rsidRPr="0011443F" w:rsidRDefault="0011443F" w:rsidP="0011443F">
      <w:pPr>
        <w:spacing w:after="0" w:line="360" w:lineRule="auto"/>
        <w:ind w:left="720"/>
        <w:rPr>
          <w:rFonts w:eastAsia="Aptos" w:cs="Arial"/>
          <w:b/>
          <w:bCs/>
          <w:sz w:val="28"/>
          <w:szCs w:val="28"/>
          <w:lang w:eastAsia="en-US"/>
          <w14:ligatures w14:val="standardContextual"/>
        </w:rPr>
      </w:pPr>
    </w:p>
    <w:p w14:paraId="3C0C4D99" w14:textId="118C6693" w:rsidR="00D769B2" w:rsidRDefault="00D769B2" w:rsidP="00D769B2">
      <w:pPr>
        <w:spacing w:after="0" w:line="240" w:lineRule="auto"/>
        <w:ind w:left="360"/>
        <w:rPr>
          <w:rFonts w:eastAsia="Aptos" w:cs="Arial"/>
          <w:lang w:eastAsia="en-US"/>
          <w14:ligatures w14:val="standardContextual"/>
        </w:rPr>
      </w:pPr>
      <w:r w:rsidRPr="00D769B2">
        <w:rPr>
          <w:rFonts w:eastAsia="Aptos" w:cs="Arial"/>
          <w:lang w:eastAsia="en-US"/>
          <w14:ligatures w14:val="standardContextual"/>
        </w:rPr>
        <w:t xml:space="preserve">3.1   The Supplier shall comply with all its obligations related to KPIs set out in this Contract. The KPIs are intended to be quantifiable measurements that reflect key areas of the specific requirements and are based on areas where a weakness or failure could result in an operational impact.  The purpose of the KPIs is to measure Suppliers performance in the delivery of the services during the </w:t>
      </w:r>
      <w:proofErr w:type="gramStart"/>
      <w:r w:rsidRPr="00D769B2">
        <w:rPr>
          <w:rFonts w:eastAsia="Aptos" w:cs="Arial"/>
          <w:lang w:eastAsia="en-US"/>
          <w14:ligatures w14:val="standardContextual"/>
        </w:rPr>
        <w:t>life-cycle</w:t>
      </w:r>
      <w:proofErr w:type="gramEnd"/>
      <w:r w:rsidRPr="00D769B2">
        <w:rPr>
          <w:rFonts w:eastAsia="Aptos" w:cs="Arial"/>
          <w:lang w:eastAsia="en-US"/>
          <w14:ligatures w14:val="standardContextual"/>
        </w:rPr>
        <w:t xml:space="preserve"> of the contract. </w:t>
      </w:r>
    </w:p>
    <w:p w14:paraId="7A2EB0D5" w14:textId="77777777" w:rsidR="00D769B2" w:rsidRDefault="00D769B2" w:rsidP="00D769B2">
      <w:pPr>
        <w:spacing w:after="0" w:line="240" w:lineRule="auto"/>
        <w:ind w:left="360"/>
        <w:rPr>
          <w:rFonts w:eastAsia="Aptos" w:cs="Arial"/>
          <w:lang w:eastAsia="en-US"/>
          <w14:ligatures w14:val="standardContextual"/>
        </w:rPr>
      </w:pPr>
    </w:p>
    <w:p w14:paraId="5CE1A1B2" w14:textId="0CC2AA35" w:rsidR="00D769B2" w:rsidRDefault="00D769B2" w:rsidP="00D769B2">
      <w:pPr>
        <w:spacing w:after="0" w:line="240" w:lineRule="auto"/>
        <w:ind w:left="360"/>
        <w:rPr>
          <w:rFonts w:eastAsia="Aptos" w:cs="Arial"/>
          <w:lang w:eastAsia="en-US"/>
          <w14:ligatures w14:val="standardContextual"/>
        </w:rPr>
      </w:pPr>
      <w:r w:rsidRPr="00D769B2">
        <w:rPr>
          <w:rFonts w:eastAsia="Aptos" w:cs="Arial"/>
          <w:lang w:eastAsia="en-US"/>
          <w14:ligatures w14:val="standardContextual"/>
        </w:rPr>
        <w:t xml:space="preserve">3.2   The Supplier shall measure the Performance and Availability of the Services against each of the specific Key Performance Indicators (KPIs) as detailed in </w:t>
      </w:r>
      <w:r>
        <w:rPr>
          <w:rFonts w:eastAsia="Aptos" w:cs="Arial"/>
          <w:lang w:eastAsia="en-US"/>
          <w14:ligatures w14:val="standardContextual"/>
        </w:rPr>
        <w:t xml:space="preserve">this </w:t>
      </w:r>
      <w:r w:rsidRPr="00D769B2">
        <w:rPr>
          <w:rFonts w:eastAsia="Aptos" w:cs="Arial"/>
          <w:lang w:eastAsia="en-US"/>
          <w14:ligatures w14:val="standardContextual"/>
        </w:rPr>
        <w:t xml:space="preserve">Schedule 10 of the Mid-Tier Terms in </w:t>
      </w:r>
      <w:r>
        <w:rPr>
          <w:rFonts w:eastAsia="Aptos" w:cs="Arial"/>
          <w:lang w:eastAsia="en-US"/>
          <w14:ligatures w14:val="standardContextual"/>
        </w:rPr>
        <w:t>each</w:t>
      </w:r>
      <w:r w:rsidRPr="00D769B2">
        <w:rPr>
          <w:rFonts w:eastAsia="Aptos" w:cs="Arial"/>
          <w:lang w:eastAsia="en-US"/>
          <w14:ligatures w14:val="standardContextual"/>
        </w:rPr>
        <w:t xml:space="preserve"> Measurement Period (</w:t>
      </w:r>
      <w:r>
        <w:rPr>
          <w:rFonts w:eastAsia="Aptos" w:cs="Arial"/>
          <w:lang w:eastAsia="en-US"/>
          <w14:ligatures w14:val="standardContextual"/>
        </w:rPr>
        <w:t>quarterly</w:t>
      </w:r>
      <w:r w:rsidRPr="00D769B2">
        <w:rPr>
          <w:rFonts w:eastAsia="Aptos" w:cs="Arial"/>
          <w:lang w:eastAsia="en-US"/>
          <w14:ligatures w14:val="standardContextual"/>
        </w:rPr>
        <w:t xml:space="preserve"> or </w:t>
      </w:r>
      <w:r>
        <w:rPr>
          <w:rFonts w:eastAsia="Aptos" w:cs="Arial"/>
          <w:lang w:eastAsia="en-US"/>
          <w14:ligatures w14:val="standardContextual"/>
        </w:rPr>
        <w:t>annually</w:t>
      </w:r>
      <w:r w:rsidRPr="00D769B2">
        <w:rPr>
          <w:rFonts w:eastAsia="Aptos" w:cs="Arial"/>
          <w:lang w:eastAsia="en-US"/>
          <w14:ligatures w14:val="standardContextual"/>
        </w:rPr>
        <w:t>).</w:t>
      </w:r>
    </w:p>
    <w:p w14:paraId="4FA27D80" w14:textId="77777777" w:rsidR="00D769B2" w:rsidRDefault="00D769B2" w:rsidP="00D769B2">
      <w:pPr>
        <w:spacing w:after="0" w:line="240" w:lineRule="auto"/>
        <w:ind w:left="360"/>
        <w:rPr>
          <w:rFonts w:eastAsia="Aptos" w:cs="Arial"/>
          <w:lang w:eastAsia="en-US"/>
          <w14:ligatures w14:val="standardContextual"/>
        </w:rPr>
      </w:pPr>
    </w:p>
    <w:p w14:paraId="79E064B6" w14:textId="03F5EE46" w:rsidR="00D769B2" w:rsidRDefault="00D769B2" w:rsidP="00D769B2">
      <w:pPr>
        <w:spacing w:after="0" w:line="240" w:lineRule="auto"/>
        <w:ind w:left="360"/>
        <w:rPr>
          <w:rFonts w:eastAsia="Aptos" w:cs="Arial"/>
          <w:lang w:eastAsia="en-US"/>
          <w14:ligatures w14:val="standardContextual"/>
        </w:rPr>
      </w:pPr>
      <w:r w:rsidRPr="00D769B2">
        <w:rPr>
          <w:rFonts w:eastAsia="Aptos" w:cs="Arial"/>
          <w:lang w:eastAsia="en-US"/>
          <w14:ligatures w14:val="standardContextual"/>
        </w:rPr>
        <w:t>3</w:t>
      </w:r>
      <w:r>
        <w:rPr>
          <w:rFonts w:eastAsia="Aptos" w:cs="Arial"/>
          <w:lang w:eastAsia="en-US"/>
          <w14:ligatures w14:val="standardContextual"/>
        </w:rPr>
        <w:t>.</w:t>
      </w:r>
      <w:r w:rsidRPr="00D769B2">
        <w:rPr>
          <w:rFonts w:eastAsia="Aptos" w:cs="Arial"/>
          <w:lang w:eastAsia="en-US"/>
          <w14:ligatures w14:val="standardContextual"/>
        </w:rPr>
        <w:t>3    The KPI Schedule details the Target Compliance Measures which the Supplier must achieve. The Supplier will be requ</w:t>
      </w:r>
      <w:r w:rsidRPr="00D769B2">
        <w:rPr>
          <w:rFonts w:eastAsia="Aptos" w:cs="Arial"/>
          <w:b/>
          <w:bCs/>
          <w:lang w:eastAsia="en-US"/>
          <w14:ligatures w14:val="standardContextual"/>
        </w:rPr>
        <w:t>i</w:t>
      </w:r>
      <w:r w:rsidRPr="00D769B2">
        <w:rPr>
          <w:rFonts w:eastAsia="Aptos" w:cs="Arial"/>
          <w:lang w:eastAsia="en-US"/>
          <w14:ligatures w14:val="standardContextual"/>
        </w:rPr>
        <w:t>red to meet the Compliance Measure for each KPI as detailed in the Schedule.</w:t>
      </w:r>
    </w:p>
    <w:p w14:paraId="4D65D91C" w14:textId="77777777" w:rsidR="00D769B2" w:rsidRDefault="00D769B2" w:rsidP="00D769B2">
      <w:pPr>
        <w:spacing w:after="0" w:line="240" w:lineRule="auto"/>
        <w:ind w:left="360"/>
        <w:rPr>
          <w:rFonts w:eastAsia="Aptos" w:cs="Arial"/>
          <w:lang w:eastAsia="en-US"/>
          <w14:ligatures w14:val="standardContextual"/>
        </w:rPr>
      </w:pPr>
    </w:p>
    <w:p w14:paraId="03FFA72D" w14:textId="7A1EA03B" w:rsidR="00D769B2" w:rsidRPr="00D769B2" w:rsidRDefault="00D769B2" w:rsidP="00D769B2">
      <w:pPr>
        <w:spacing w:after="0" w:line="240" w:lineRule="auto"/>
        <w:ind w:left="360"/>
        <w:rPr>
          <w:rFonts w:eastAsia="Aptos" w:cs="Arial"/>
          <w:lang w:eastAsia="en-US"/>
          <w14:ligatures w14:val="standardContextual"/>
        </w:rPr>
      </w:pPr>
      <w:r>
        <w:rPr>
          <w:rFonts w:eastAsia="Aptos" w:cs="Arial"/>
          <w:lang w:eastAsia="en-US"/>
          <w14:ligatures w14:val="standardContextual"/>
        </w:rPr>
        <w:t>3</w:t>
      </w:r>
      <w:r w:rsidRPr="00D769B2">
        <w:rPr>
          <w:rFonts w:eastAsia="Aptos" w:cs="Arial"/>
          <w:lang w:eastAsia="en-US"/>
          <w14:ligatures w14:val="standardContextual"/>
        </w:rPr>
        <w:t xml:space="preserve">.4     The Supplier will be required to implement within the contract a KPI monitoring system which shall be maintained and updated on a </w:t>
      </w:r>
      <w:r>
        <w:rPr>
          <w:rFonts w:eastAsia="Aptos" w:cs="Arial"/>
          <w:lang w:eastAsia="en-US"/>
          <w14:ligatures w14:val="standardContextual"/>
        </w:rPr>
        <w:t>quarterly</w:t>
      </w:r>
      <w:r w:rsidRPr="00D769B2">
        <w:rPr>
          <w:rFonts w:eastAsia="Aptos" w:cs="Arial"/>
          <w:lang w:eastAsia="en-US"/>
          <w14:ligatures w14:val="standardContextual"/>
        </w:rPr>
        <w:t xml:space="preserve"> basis by the Supplier.</w:t>
      </w:r>
    </w:p>
    <w:p w14:paraId="56B4306E" w14:textId="77777777" w:rsidR="00D769B2" w:rsidRPr="00D769B2" w:rsidRDefault="00D769B2" w:rsidP="00D769B2">
      <w:pPr>
        <w:spacing w:after="0" w:line="240" w:lineRule="auto"/>
        <w:ind w:left="360"/>
        <w:rPr>
          <w:rFonts w:eastAsia="Aptos" w:cs="Arial"/>
          <w:lang w:eastAsia="en-US"/>
          <w14:ligatures w14:val="standardContextual"/>
        </w:rPr>
      </w:pPr>
    </w:p>
    <w:p w14:paraId="729319AC" w14:textId="3F6E00B9" w:rsidR="00D769B2" w:rsidRDefault="00D769B2" w:rsidP="00D769B2">
      <w:pPr>
        <w:spacing w:after="0" w:line="240" w:lineRule="auto"/>
        <w:ind w:left="360"/>
        <w:rPr>
          <w:rFonts w:eastAsia="Aptos" w:cs="Arial"/>
          <w:lang w:eastAsia="en-US"/>
          <w14:ligatures w14:val="standardContextual"/>
        </w:rPr>
      </w:pPr>
      <w:r w:rsidRPr="00D769B2">
        <w:rPr>
          <w:rFonts w:eastAsia="Aptos" w:cs="Arial"/>
          <w:lang w:eastAsia="en-US"/>
          <w14:ligatures w14:val="standardContextual"/>
        </w:rPr>
        <w:t>3.5    The Supplier is required to achieve the expected service levels. Where figures indicate a level of service that is below that required for the Contract, the Supplier will be required to perform the remedial actions necessary to bring the services to the required performance level.</w:t>
      </w:r>
    </w:p>
    <w:p w14:paraId="35708339" w14:textId="77777777" w:rsidR="00D769B2" w:rsidRDefault="00D769B2" w:rsidP="00D769B2">
      <w:pPr>
        <w:spacing w:after="0" w:line="240" w:lineRule="auto"/>
        <w:ind w:left="360"/>
        <w:rPr>
          <w:rFonts w:eastAsia="Aptos" w:cs="Arial"/>
          <w:lang w:eastAsia="en-US"/>
          <w14:ligatures w14:val="standardContextual"/>
        </w:rPr>
      </w:pPr>
    </w:p>
    <w:p w14:paraId="723ED17E" w14:textId="2AB5870E" w:rsidR="00D769B2" w:rsidRDefault="00D769B2" w:rsidP="00D769B2">
      <w:pPr>
        <w:spacing w:after="0" w:line="240" w:lineRule="auto"/>
        <w:ind w:left="360"/>
        <w:rPr>
          <w:rFonts w:eastAsia="Aptos" w:cs="Arial"/>
          <w:lang w:eastAsia="en-US"/>
          <w14:ligatures w14:val="standardContextual"/>
        </w:rPr>
      </w:pPr>
      <w:r w:rsidRPr="00D769B2">
        <w:rPr>
          <w:rFonts w:eastAsia="Aptos" w:cs="Arial"/>
          <w:lang w:eastAsia="en-US"/>
          <w14:ligatures w14:val="standardContextual"/>
        </w:rPr>
        <w:t xml:space="preserve">3.6      In accordance with the Procurement Act 2023 (as amended), the </w:t>
      </w:r>
      <w:r>
        <w:rPr>
          <w:rFonts w:eastAsia="Aptos" w:cs="Arial"/>
          <w:lang w:eastAsia="en-US"/>
          <w14:ligatures w14:val="standardContextual"/>
        </w:rPr>
        <w:t>Buyer</w:t>
      </w:r>
      <w:r w:rsidRPr="00D769B2">
        <w:rPr>
          <w:rFonts w:eastAsia="Aptos" w:cs="Arial"/>
          <w:lang w:eastAsia="en-US"/>
          <w14:ligatures w14:val="standardContextual"/>
        </w:rPr>
        <w:t xml:space="preserve"> is required to assess the supplier’s performance and report on KPI’s for services delivered under this Contract. </w:t>
      </w:r>
      <w:r>
        <w:rPr>
          <w:rFonts w:eastAsia="Aptos" w:cs="Arial"/>
          <w:lang w:eastAsia="en-US"/>
          <w14:ligatures w14:val="standardContextual"/>
        </w:rPr>
        <w:t>CPD</w:t>
      </w:r>
      <w:r w:rsidRPr="00D769B2">
        <w:rPr>
          <w:rFonts w:eastAsia="Aptos" w:cs="Arial"/>
          <w:lang w:eastAsia="en-US"/>
          <w14:ligatures w14:val="standardContextual"/>
        </w:rPr>
        <w:t xml:space="preserve"> will report on Supplier KPI performance and publish a contract performance notice annually. A contract performance notice will also record information relating to a specific supplier breach or failure to perform the Contract.</w:t>
      </w:r>
    </w:p>
    <w:p w14:paraId="34A694BD" w14:textId="77777777" w:rsidR="00D769B2" w:rsidRDefault="00D769B2" w:rsidP="00D769B2">
      <w:pPr>
        <w:spacing w:after="0" w:line="240" w:lineRule="auto"/>
        <w:ind w:left="360"/>
        <w:rPr>
          <w:rFonts w:eastAsia="Aptos" w:cs="Arial"/>
          <w:lang w:eastAsia="en-US"/>
          <w14:ligatures w14:val="standardContextual"/>
        </w:rPr>
      </w:pPr>
    </w:p>
    <w:p w14:paraId="77269B00" w14:textId="10F833A6" w:rsidR="00D769B2" w:rsidRPr="00D769B2" w:rsidRDefault="00D769B2" w:rsidP="00D769B2">
      <w:pPr>
        <w:spacing w:after="0" w:line="240" w:lineRule="auto"/>
        <w:ind w:left="360"/>
        <w:rPr>
          <w:rFonts w:eastAsia="Aptos" w:cs="Arial"/>
          <w:lang w:val="en-US" w:eastAsia="en-US"/>
          <w14:ligatures w14:val="standardContextual"/>
        </w:rPr>
      </w:pPr>
      <w:r w:rsidRPr="00D769B2">
        <w:rPr>
          <w:rFonts w:eastAsia="Aptos" w:cs="Arial"/>
          <w:lang w:val="en-US" w:eastAsia="en-US"/>
          <w14:ligatures w14:val="standardContextual"/>
        </w:rPr>
        <w:t>3</w:t>
      </w:r>
      <w:r>
        <w:rPr>
          <w:rFonts w:eastAsia="Aptos" w:cs="Arial"/>
          <w:lang w:val="en-US" w:eastAsia="en-US"/>
          <w14:ligatures w14:val="standardContextual"/>
        </w:rPr>
        <w:t>.</w:t>
      </w:r>
      <w:r w:rsidRPr="00D769B2">
        <w:rPr>
          <w:rFonts w:eastAsia="Aptos" w:cs="Arial"/>
          <w:lang w:val="en-US" w:eastAsia="en-US"/>
          <w14:ligatures w14:val="standardContextual"/>
        </w:rPr>
        <w:t xml:space="preserve">7      The </w:t>
      </w:r>
      <w:r w:rsidR="00A621FD">
        <w:rPr>
          <w:rFonts w:eastAsia="Aptos" w:cs="Arial"/>
          <w:lang w:val="en-US" w:eastAsia="en-US"/>
          <w14:ligatures w14:val="standardContextual"/>
        </w:rPr>
        <w:t>Buyer</w:t>
      </w:r>
      <w:r w:rsidRPr="00D769B2">
        <w:rPr>
          <w:rFonts w:eastAsia="Aptos" w:cs="Arial"/>
          <w:lang w:val="en-US" w:eastAsia="en-US"/>
          <w14:ligatures w14:val="standardContextual"/>
        </w:rPr>
        <w:t xml:space="preserve"> reserves the right to adjust, introduce new, or remove KPIs throughout the Contract Period. The Supplier will be given prior notice of any changes to the KPIs. </w:t>
      </w:r>
    </w:p>
    <w:p w14:paraId="2C928694" w14:textId="6EF7D4AB" w:rsidR="00D769B2" w:rsidRPr="00D769B2" w:rsidRDefault="00D769B2" w:rsidP="00D769B2">
      <w:pPr>
        <w:spacing w:after="0" w:line="240" w:lineRule="auto"/>
        <w:ind w:left="360"/>
        <w:rPr>
          <w:rFonts w:eastAsia="Aptos" w:cs="Arial"/>
          <w:lang w:eastAsia="en-US"/>
          <w14:ligatures w14:val="standardContextual"/>
        </w:rPr>
      </w:pPr>
      <w:r w:rsidRPr="00D769B2">
        <w:rPr>
          <w:rFonts w:eastAsia="Aptos" w:cs="Arial"/>
          <w:lang w:eastAsia="en-US"/>
          <w14:ligatures w14:val="standardContextual"/>
        </w:rPr>
        <w:t xml:space="preserve"> </w:t>
      </w:r>
    </w:p>
    <w:p w14:paraId="5EFE5BDC" w14:textId="77777777" w:rsidR="00D769B2" w:rsidRDefault="00D769B2" w:rsidP="00D769B2">
      <w:pPr>
        <w:spacing w:after="0" w:line="240" w:lineRule="auto"/>
        <w:ind w:left="360"/>
        <w:rPr>
          <w:rFonts w:eastAsia="Aptos" w:cs="Arial"/>
          <w:lang w:eastAsia="en-US"/>
          <w14:ligatures w14:val="standardContextual"/>
        </w:rPr>
      </w:pPr>
    </w:p>
    <w:p w14:paraId="7D80901A" w14:textId="77777777" w:rsidR="00F94D74" w:rsidRDefault="00F94D74" w:rsidP="00D769B2">
      <w:pPr>
        <w:spacing w:after="0" w:line="240" w:lineRule="auto"/>
        <w:ind w:left="360"/>
        <w:rPr>
          <w:rFonts w:eastAsia="Aptos" w:cs="Arial"/>
          <w:lang w:eastAsia="en-US"/>
          <w14:ligatures w14:val="standardContextual"/>
        </w:rPr>
      </w:pPr>
    </w:p>
    <w:p w14:paraId="5434EDBF" w14:textId="77777777" w:rsidR="00F94D74" w:rsidRDefault="00F94D74" w:rsidP="00D769B2">
      <w:pPr>
        <w:spacing w:after="0" w:line="240" w:lineRule="auto"/>
        <w:ind w:left="360"/>
        <w:rPr>
          <w:rFonts w:eastAsia="Aptos" w:cs="Arial"/>
          <w:lang w:eastAsia="en-US"/>
          <w14:ligatures w14:val="standardContextual"/>
        </w:rPr>
      </w:pPr>
    </w:p>
    <w:p w14:paraId="25EE1DDF" w14:textId="77777777" w:rsidR="00F94D74" w:rsidRDefault="00F94D74" w:rsidP="00D769B2">
      <w:pPr>
        <w:spacing w:after="0" w:line="240" w:lineRule="auto"/>
        <w:ind w:left="360"/>
        <w:rPr>
          <w:rFonts w:eastAsia="Aptos" w:cs="Arial"/>
          <w:lang w:eastAsia="en-US"/>
          <w14:ligatures w14:val="standardContextual"/>
        </w:rPr>
      </w:pPr>
    </w:p>
    <w:p w14:paraId="0D586E0E" w14:textId="77777777" w:rsidR="00F94D74" w:rsidRDefault="00F94D74" w:rsidP="00D769B2">
      <w:pPr>
        <w:spacing w:after="0" w:line="240" w:lineRule="auto"/>
        <w:ind w:left="360"/>
        <w:rPr>
          <w:rFonts w:eastAsia="Aptos" w:cs="Arial"/>
          <w:lang w:eastAsia="en-US"/>
          <w14:ligatures w14:val="standardContextual"/>
        </w:rPr>
      </w:pPr>
    </w:p>
    <w:p w14:paraId="77DEFAF0" w14:textId="77777777" w:rsidR="00F94D74" w:rsidRPr="00D769B2" w:rsidRDefault="00F94D74" w:rsidP="00D769B2">
      <w:pPr>
        <w:spacing w:after="0" w:line="240" w:lineRule="auto"/>
        <w:ind w:left="360"/>
        <w:rPr>
          <w:rFonts w:eastAsia="Aptos" w:cs="Arial"/>
          <w:lang w:eastAsia="en-US"/>
          <w14:ligatures w14:val="standardContextual"/>
        </w:rPr>
      </w:pPr>
    </w:p>
    <w:p w14:paraId="6AF440FA" w14:textId="44F4A918" w:rsidR="00F94D74" w:rsidRPr="00F94D74" w:rsidRDefault="00F94D74" w:rsidP="00F94D74">
      <w:pPr>
        <w:pStyle w:val="GPSL1CLAUSEHEADING"/>
        <w:rPr>
          <w:rFonts w:hint="eastAsia"/>
        </w:rPr>
      </w:pPr>
      <w:r w:rsidRPr="00F94D74">
        <w:lastRenderedPageBreak/>
        <w:t>Performance Satisfaction Indicator Scale</w:t>
      </w:r>
    </w:p>
    <w:p w14:paraId="5B05DF6D" w14:textId="77777777" w:rsidR="00D769B2" w:rsidRPr="00D769B2" w:rsidRDefault="00D769B2" w:rsidP="00D769B2">
      <w:pPr>
        <w:spacing w:after="0" w:line="240" w:lineRule="auto"/>
        <w:ind w:left="360"/>
        <w:rPr>
          <w:rFonts w:eastAsia="Aptos" w:cs="Arial"/>
          <w:lang w:eastAsia="en-US"/>
          <w14:ligatures w14:val="standardContextual"/>
        </w:rPr>
      </w:pPr>
    </w:p>
    <w:p w14:paraId="609982E1" w14:textId="762AD92A" w:rsidR="00F94D74" w:rsidRPr="004966BE" w:rsidRDefault="00F94D74" w:rsidP="00F94D74">
      <w:pPr>
        <w:spacing w:line="360" w:lineRule="auto"/>
        <w:rPr>
          <w:bCs/>
        </w:rPr>
      </w:pPr>
      <w:r w:rsidRPr="004966BE">
        <w:rPr>
          <w:bCs/>
        </w:rPr>
        <w:t xml:space="preserve">The </w:t>
      </w:r>
      <w:r>
        <w:rPr>
          <w:bCs/>
        </w:rPr>
        <w:t>Supplier</w:t>
      </w:r>
      <w:r w:rsidRPr="004966BE">
        <w:rPr>
          <w:bCs/>
        </w:rPr>
        <w:t xml:space="preserve">’s performance shall be measured on a quarterly basis by the </w:t>
      </w:r>
      <w:r w:rsidR="00A621FD">
        <w:rPr>
          <w:bCs/>
        </w:rPr>
        <w:t>Supplier</w:t>
      </w:r>
      <w:r w:rsidRPr="004966BE">
        <w:rPr>
          <w:bCs/>
        </w:rPr>
        <w:t xml:space="preserve"> and the</w:t>
      </w:r>
      <w:r w:rsidR="00A621FD">
        <w:rPr>
          <w:bCs/>
        </w:rPr>
        <w:t xml:space="preserve"> Buyer</w:t>
      </w:r>
      <w:r w:rsidRPr="004966BE">
        <w:rPr>
          <w:bCs/>
        </w:rPr>
        <w:t xml:space="preserve">’s Information Manager and recorded against a Quarterly Contract Monitoring sheet and scored against the agreed KPIs. Each KPI depending on its importance to the </w:t>
      </w:r>
      <w:r w:rsidR="00A621FD">
        <w:rPr>
          <w:bCs/>
        </w:rPr>
        <w:t>Buyer</w:t>
      </w:r>
      <w:r w:rsidRPr="004966BE">
        <w:rPr>
          <w:bCs/>
        </w:rPr>
        <w:t xml:space="preserve"> is either Pass or Fail or a performance measurement figure of 1, 2 or 3 based on the following index:</w:t>
      </w:r>
    </w:p>
    <w:p w14:paraId="7C3EDA09" w14:textId="77777777" w:rsidR="00F94D74" w:rsidRPr="00BE6E59" w:rsidRDefault="00F94D74" w:rsidP="00F94D74">
      <w:pPr>
        <w:spacing w:line="360" w:lineRule="auto"/>
        <w:ind w:left="720" w:hanging="720"/>
        <w:rPr>
          <w:b/>
        </w:rPr>
      </w:pPr>
    </w:p>
    <w:p w14:paraId="123F857B" w14:textId="77777777" w:rsidR="00F94D74" w:rsidRPr="00BE6E59" w:rsidRDefault="00F94D74" w:rsidP="00F94D74">
      <w:pPr>
        <w:rPr>
          <w:b/>
        </w:rPr>
      </w:pPr>
      <w:r w:rsidRPr="00BE6E59">
        <w:rPr>
          <w:b/>
        </w:rPr>
        <w:t>Performance Index Ratings</w:t>
      </w:r>
    </w:p>
    <w:p w14:paraId="29F07D0D" w14:textId="77777777" w:rsidR="00F94D74" w:rsidRPr="00BE6E59" w:rsidRDefault="00F94D74" w:rsidP="00F94D74">
      <w:pPr>
        <w:ind w:left="720"/>
      </w:pPr>
    </w:p>
    <w:p w14:paraId="09FA2C80" w14:textId="77777777" w:rsidR="00F94D74" w:rsidRPr="00BE6E59" w:rsidRDefault="00F94D74" w:rsidP="00F94D74">
      <w:pPr>
        <w:spacing w:line="360" w:lineRule="auto"/>
        <w:ind w:left="900"/>
      </w:pPr>
      <w:r w:rsidRPr="00BE6E59">
        <w:t>3</w:t>
      </w:r>
      <w:r w:rsidRPr="00BE6E59">
        <w:tab/>
        <w:t>Meets Standard (No Service Deduction applicable)</w:t>
      </w:r>
    </w:p>
    <w:p w14:paraId="5D89D6A2" w14:textId="36495296" w:rsidR="00F94D74" w:rsidRPr="00BE6E59" w:rsidRDefault="00F94D74" w:rsidP="00F94D74">
      <w:pPr>
        <w:spacing w:line="360" w:lineRule="auto"/>
        <w:ind w:left="1440" w:hanging="540"/>
      </w:pPr>
      <w:r w:rsidRPr="00BE6E59">
        <w:t>2</w:t>
      </w:r>
      <w:r w:rsidRPr="00BE6E59">
        <w:tab/>
        <w:t xml:space="preserve">Improvement required (No Service Deduction, however if the </w:t>
      </w:r>
      <w:r w:rsidR="00A621FD">
        <w:t>Supplier</w:t>
      </w:r>
      <w:r w:rsidRPr="00BE6E59">
        <w:t xml:space="preserve">’s performance shows no improvement in the subsequent </w:t>
      </w:r>
      <w:proofErr w:type="gramStart"/>
      <w:r w:rsidRPr="00BE6E59">
        <w:t>month</w:t>
      </w:r>
      <w:proofErr w:type="gramEnd"/>
      <w:r w:rsidRPr="00BE6E59">
        <w:t xml:space="preserve"> then 10% Service Deduction will apply)</w:t>
      </w:r>
    </w:p>
    <w:p w14:paraId="0BFBDE2B" w14:textId="77777777" w:rsidR="00F94D74" w:rsidRPr="00BE6E59" w:rsidRDefault="00F94D74" w:rsidP="00F94D74">
      <w:pPr>
        <w:numPr>
          <w:ilvl w:val="0"/>
          <w:numId w:val="15"/>
        </w:numPr>
        <w:spacing w:after="0" w:line="360" w:lineRule="auto"/>
        <w:ind w:left="1418" w:hanging="518"/>
      </w:pPr>
      <w:r w:rsidRPr="00BE6E59">
        <w:t>Failure (Service Deduction will apply)</w:t>
      </w:r>
    </w:p>
    <w:p w14:paraId="5886DEE0" w14:textId="77777777" w:rsidR="00F94D74" w:rsidRPr="00BE6E59" w:rsidRDefault="00F94D74" w:rsidP="00F94D74">
      <w:pPr>
        <w:spacing w:line="360" w:lineRule="auto"/>
        <w:rPr>
          <w:b/>
        </w:rPr>
      </w:pPr>
    </w:p>
    <w:p w14:paraId="7B3AE443" w14:textId="52CA42EC" w:rsidR="00A54C9A" w:rsidRDefault="00F94D74" w:rsidP="00F94D74">
      <w:pPr>
        <w:spacing w:line="360" w:lineRule="auto"/>
        <w:contextualSpacing/>
      </w:pPr>
      <w:r w:rsidRPr="00BE6E59">
        <w:t xml:space="preserve">If the </w:t>
      </w:r>
      <w:r>
        <w:t>Supplier</w:t>
      </w:r>
      <w:r w:rsidRPr="00BE6E59">
        <w:t xml:space="preserve"> fails in a KPI which has been identified as a Pass/</w:t>
      </w:r>
      <w:proofErr w:type="gramStart"/>
      <w:r w:rsidRPr="00BE6E59">
        <w:t>Fail</w:t>
      </w:r>
      <w:proofErr w:type="gramEnd"/>
      <w:r w:rsidRPr="00BE6E59">
        <w:t xml:space="preserve"> then the </w:t>
      </w:r>
      <w:r>
        <w:t>Supplier</w:t>
      </w:r>
      <w:r w:rsidRPr="00BE6E59">
        <w:t xml:space="preserve"> would be deemed to have failed to deliver a level of service as specified within the Specification and a 5% service deduction will be applied to the service price for storage for that quarter. </w:t>
      </w:r>
      <w:r w:rsidR="00A54C9A" w:rsidRPr="00BE6E59">
        <w:t xml:space="preserve">If no improvement is shown in the subsequent </w:t>
      </w:r>
      <w:proofErr w:type="gramStart"/>
      <w:r w:rsidR="00A54C9A" w:rsidRPr="00BE6E59">
        <w:t>quarter</w:t>
      </w:r>
      <w:proofErr w:type="gramEnd"/>
      <w:r w:rsidR="00A54C9A" w:rsidRPr="00BE6E59">
        <w:t xml:space="preserve"> then a 10% deduction will be applied to the costs for storage for that quarter.</w:t>
      </w:r>
      <w:r w:rsidR="00A54C9A">
        <w:t xml:space="preserve"> </w:t>
      </w:r>
      <w:r w:rsidR="00A54C9A" w:rsidRPr="00F94D74">
        <w:t>with</w:t>
      </w:r>
    </w:p>
    <w:p w14:paraId="36288543" w14:textId="77777777" w:rsidR="00A54C9A" w:rsidRDefault="00A54C9A" w:rsidP="00F94D74">
      <w:pPr>
        <w:spacing w:line="360" w:lineRule="auto"/>
        <w:contextualSpacing/>
      </w:pPr>
    </w:p>
    <w:p w14:paraId="2F3A1CE3" w14:textId="0BB8CCB6" w:rsidR="00F94D74" w:rsidRPr="00F94D74" w:rsidRDefault="00F94D74" w:rsidP="00F94D74">
      <w:pPr>
        <w:spacing w:line="360" w:lineRule="auto"/>
        <w:contextualSpacing/>
      </w:pPr>
      <w:r>
        <w:t>Where</w:t>
      </w:r>
      <w:r w:rsidRPr="00F94D74">
        <w:t xml:space="preserve"> performance has been </w:t>
      </w:r>
      <w:r>
        <w:t xml:space="preserve">deemed </w:t>
      </w:r>
      <w:r w:rsidR="00A54C9A">
        <w:t xml:space="preserve">to fail for 2 consecutive quarters </w:t>
      </w:r>
      <w:r w:rsidRPr="00F94D74">
        <w:t xml:space="preserve">the matter will be immediately escalated CPD. The Supplier will be advised of the poor performance and issued with a formal letter of unsatisfactory performance.  The Supplier will be required to undertake a review and submit a root cause remedial plan to address the deficiencies in contract performance within 5 working days. The Supplier shall commit to address the deficiencies and improve performance within 1 month from receipt of the plan or other such period as directed by the </w:t>
      </w:r>
      <w:r w:rsidR="00A621FD">
        <w:t>Buyer</w:t>
      </w:r>
      <w:r w:rsidRPr="00F94D74">
        <w:t xml:space="preserve">. Where there is no improvement in performance in the next </w:t>
      </w:r>
      <w:r w:rsidR="00A54C9A">
        <w:t>quarter</w:t>
      </w:r>
      <w:r w:rsidRPr="00F94D74">
        <w:t xml:space="preserve"> the Supplier will be </w:t>
      </w:r>
      <w:r w:rsidRPr="00F94D74">
        <w:lastRenderedPageBreak/>
        <w:t>issued</w:t>
      </w:r>
      <w:r w:rsidR="00A54C9A">
        <w:t xml:space="preserve"> </w:t>
      </w:r>
      <w:r w:rsidRPr="00F94D74">
        <w:t xml:space="preserve">a second formal letter of unsatisfactory performance. At this stage a poor performance meeting will be arranged with the Supplier and Senior Management from PSNI and CPD. </w:t>
      </w:r>
      <w:bookmarkStart w:id="4" w:name="_Hlk180408632"/>
      <w:r w:rsidRPr="00F94D74">
        <w:t xml:space="preserve">Any further action will be in accordance with the CPD ‘Poor Performance Protocol’ </w:t>
      </w:r>
      <w:hyperlink r:id="rId11" w:history="1">
        <w:r w:rsidRPr="00F94D74">
          <w:rPr>
            <w:rStyle w:val="Hyperlink"/>
          </w:rPr>
          <w:t>Sourcing and Construction Toolkits | Department of Finance (finance-ni.gov.uk)</w:t>
        </w:r>
      </w:hyperlink>
      <w:r w:rsidRPr="00F94D74">
        <w:rPr>
          <w:u w:val="single"/>
        </w:rPr>
        <w:t>.</w:t>
      </w:r>
      <w:bookmarkEnd w:id="4"/>
    </w:p>
    <w:p w14:paraId="18DFABA4" w14:textId="77777777" w:rsidR="00F94D74" w:rsidRPr="00BE6E59" w:rsidRDefault="00F94D74" w:rsidP="00F94D74">
      <w:pPr>
        <w:spacing w:line="360" w:lineRule="auto"/>
        <w:contextualSpacing/>
        <w:rPr>
          <w:b/>
        </w:rPr>
      </w:pPr>
    </w:p>
    <w:p w14:paraId="57C8709E" w14:textId="3226149D" w:rsidR="00F94D74" w:rsidRPr="00BE6E59" w:rsidRDefault="00F94D74" w:rsidP="00F94D74">
      <w:pPr>
        <w:spacing w:line="360" w:lineRule="auto"/>
        <w:contextualSpacing/>
        <w:rPr>
          <w:b/>
        </w:rPr>
      </w:pPr>
      <w:r w:rsidRPr="00BE6E59">
        <w:t>Where a KPI is scored against the Performance Index of 1, 2 or 3 and a</w:t>
      </w:r>
      <w:r>
        <w:t xml:space="preserve"> Supplier</w:t>
      </w:r>
      <w:r w:rsidRPr="00BE6E59">
        <w:t xml:space="preserve"> scores 3, it will have met the required performance </w:t>
      </w:r>
      <w:proofErr w:type="gramStart"/>
      <w:r w:rsidRPr="00BE6E59">
        <w:t>levels</w:t>
      </w:r>
      <w:proofErr w:type="gramEnd"/>
      <w:r w:rsidRPr="00BE6E59">
        <w:t xml:space="preserve"> and no service deduction will be applied.</w:t>
      </w:r>
      <w:r w:rsidRPr="00BE6E59">
        <w:rPr>
          <w:b/>
        </w:rPr>
        <w:br/>
      </w:r>
    </w:p>
    <w:p w14:paraId="3F954686" w14:textId="0DD8286E" w:rsidR="00F94D74" w:rsidRPr="00BE6E59" w:rsidRDefault="00F94D74" w:rsidP="00F94D74">
      <w:pPr>
        <w:spacing w:line="360" w:lineRule="auto"/>
        <w:rPr>
          <w:b/>
        </w:rPr>
      </w:pPr>
      <w:r w:rsidRPr="00BE6E59">
        <w:t xml:space="preserve">Where a KPI is scored against the Performance Index of 1, 2 and 3 and the </w:t>
      </w:r>
      <w:r>
        <w:t>Supplier</w:t>
      </w:r>
      <w:r w:rsidRPr="00BE6E59">
        <w:t xml:space="preserve">’s performance scores 2, no service deduction will be applied. </w:t>
      </w:r>
      <w:proofErr w:type="gramStart"/>
      <w:r w:rsidRPr="00BE6E59">
        <w:t>However</w:t>
      </w:r>
      <w:proofErr w:type="gramEnd"/>
      <w:r w:rsidRPr="00BE6E59">
        <w:t xml:space="preserve"> if no improvement is achieved in the subsequent </w:t>
      </w:r>
      <w:proofErr w:type="gramStart"/>
      <w:r w:rsidRPr="00BE6E59">
        <w:t>quarter</w:t>
      </w:r>
      <w:proofErr w:type="gramEnd"/>
      <w:r w:rsidRPr="00BE6E59">
        <w:t xml:space="preserve"> then a 10% deduction will be applied to the service price for storage for that quarter. </w:t>
      </w:r>
      <w:r w:rsidRPr="00BE6E59">
        <w:br/>
      </w:r>
    </w:p>
    <w:p w14:paraId="60CA9932" w14:textId="34C30B66" w:rsidR="00A54C9A" w:rsidRDefault="00F94D74" w:rsidP="00F94D74">
      <w:pPr>
        <w:spacing w:line="360" w:lineRule="auto"/>
      </w:pPr>
      <w:r w:rsidRPr="00BE6E59">
        <w:t xml:space="preserve">Where a KPI is scored against the Performance Index of 1, 2 and 3 and the </w:t>
      </w:r>
      <w:r>
        <w:t>Supplier</w:t>
      </w:r>
      <w:r w:rsidRPr="00BE6E59">
        <w:t>’s performance scores 1, a 5% service deduction will be applied to the price for storage for that quarter.</w:t>
      </w:r>
      <w:r w:rsidR="00A54C9A">
        <w:t xml:space="preserve"> </w:t>
      </w:r>
      <w:r w:rsidR="00A54C9A" w:rsidRPr="00A54C9A">
        <w:t xml:space="preserve">Where performance has been identified as </w:t>
      </w:r>
      <w:r w:rsidR="00A54C9A">
        <w:rPr>
          <w:b/>
          <w:bCs/>
        </w:rPr>
        <w:t>failure</w:t>
      </w:r>
      <w:r w:rsidR="00A54C9A" w:rsidRPr="00A54C9A">
        <w:t xml:space="preserve"> the matter will be immediately escalated </w:t>
      </w:r>
      <w:r w:rsidR="00A54C9A">
        <w:t xml:space="preserve">to </w:t>
      </w:r>
      <w:r w:rsidR="00A54C9A" w:rsidRPr="00A54C9A">
        <w:t xml:space="preserve">CPD. The Supplier will be advised of the poor performance and issued with a formal letter of unsatisfactory performance.  The Supplier will be required to undertake a review and submit a root cause remedial plan to address the deficiencies in contract performance within 5 working days. The Supplier shall commit to address the deficiencies and improve performance within 1 month from receipt of the plan or other such period as directed by the </w:t>
      </w:r>
      <w:r w:rsidR="00A621FD">
        <w:t>Buyer</w:t>
      </w:r>
      <w:r w:rsidR="00A54C9A" w:rsidRPr="00A54C9A">
        <w:t xml:space="preserve">. Where there is no improvement in performance in the next review period the Supplier will be issued with a second formal letter of unsatisfactory performance. At this stage a poor performance meeting will be arranged with the Supplier and Senior Management from PSNI and CPD. Any further action will be in accordance with the CPD ‘Poor Performance Protocol’ </w:t>
      </w:r>
      <w:hyperlink r:id="rId12" w:history="1">
        <w:r w:rsidR="00A54C9A" w:rsidRPr="00A54C9A">
          <w:rPr>
            <w:rStyle w:val="Hyperlink"/>
          </w:rPr>
          <w:t>Sourcing and Construction Toolkits | Department of Finance (finance-ni.gov.uk)</w:t>
        </w:r>
      </w:hyperlink>
    </w:p>
    <w:p w14:paraId="2FCD1966" w14:textId="77777777" w:rsidR="00A54C9A" w:rsidRDefault="00A54C9A" w:rsidP="00F94D74">
      <w:pPr>
        <w:spacing w:line="360" w:lineRule="auto"/>
      </w:pPr>
    </w:p>
    <w:p w14:paraId="5CBF5673" w14:textId="5763EECD" w:rsidR="00F94D74" w:rsidRPr="00BE6E59" w:rsidRDefault="00F94D74" w:rsidP="00F94D74">
      <w:pPr>
        <w:spacing w:line="360" w:lineRule="auto"/>
        <w:rPr>
          <w:b/>
        </w:rPr>
      </w:pPr>
      <w:r w:rsidRPr="00BE6E59">
        <w:lastRenderedPageBreak/>
        <w:t xml:space="preserve"> </w:t>
      </w:r>
      <w:proofErr w:type="gramStart"/>
      <w:r w:rsidRPr="00BE6E59">
        <w:t>However</w:t>
      </w:r>
      <w:proofErr w:type="gramEnd"/>
      <w:r w:rsidRPr="00BE6E59">
        <w:t xml:space="preserve"> if no improvement is achieved in the subsequent </w:t>
      </w:r>
      <w:proofErr w:type="gramStart"/>
      <w:r w:rsidRPr="00BE6E59">
        <w:t>month</w:t>
      </w:r>
      <w:proofErr w:type="gramEnd"/>
      <w:r w:rsidRPr="00BE6E59">
        <w:t xml:space="preserve"> then a 10% deduction will be applied to the service price for storage for that quarter. </w:t>
      </w:r>
    </w:p>
    <w:p w14:paraId="33645677" w14:textId="64DA1508" w:rsidR="00F94D74" w:rsidRPr="00BE6E59" w:rsidRDefault="00F94D74" w:rsidP="00F94D74">
      <w:pPr>
        <w:spacing w:line="360" w:lineRule="auto"/>
        <w:rPr>
          <w:b/>
        </w:rPr>
      </w:pPr>
      <w:r w:rsidRPr="00BE6E59">
        <w:t xml:space="preserve">The Service Deduction will be applied for each KPI that is measured using the Performance Index detailed above. </w:t>
      </w:r>
    </w:p>
    <w:p w14:paraId="2B55E128" w14:textId="6ACBA7E4" w:rsidR="00F94D74" w:rsidRPr="00BE6E59" w:rsidRDefault="00F94D74" w:rsidP="00F94D74">
      <w:pPr>
        <w:spacing w:line="360" w:lineRule="auto"/>
        <w:rPr>
          <w:b/>
        </w:rPr>
      </w:pPr>
      <w:r w:rsidRPr="00BE6E59">
        <w:t xml:space="preserve">The Service Deduction will only be applied to the </w:t>
      </w:r>
      <w:r w:rsidR="001C68E5">
        <w:t>Supplier’</w:t>
      </w:r>
      <w:r w:rsidR="001C68E5" w:rsidRPr="00BE6E59">
        <w:t>s</w:t>
      </w:r>
      <w:r w:rsidRPr="00BE6E59">
        <w:t xml:space="preserve"> Performance and not to failures outside of his control.</w:t>
      </w:r>
    </w:p>
    <w:p w14:paraId="18AB91C7" w14:textId="7CA21996" w:rsidR="00F94D74" w:rsidRPr="004966BE" w:rsidRDefault="00F94D74" w:rsidP="00F94D74">
      <w:pPr>
        <w:spacing w:line="360" w:lineRule="auto"/>
        <w:rPr>
          <w:bCs/>
        </w:rPr>
      </w:pPr>
      <w:r w:rsidRPr="004966BE">
        <w:rPr>
          <w:bCs/>
        </w:rPr>
        <w:t xml:space="preserve">The </w:t>
      </w:r>
      <w:r>
        <w:rPr>
          <w:bCs/>
        </w:rPr>
        <w:t>Supplier</w:t>
      </w:r>
      <w:r w:rsidRPr="004966BE">
        <w:rPr>
          <w:bCs/>
        </w:rPr>
        <w:t xml:space="preserve"> shall strive to achieve a performance level as required in the Specification. Where performance scores indicate a level of service below that required for the Contract, the </w:t>
      </w:r>
      <w:r>
        <w:rPr>
          <w:bCs/>
        </w:rPr>
        <w:t>Supplier</w:t>
      </w:r>
      <w:r w:rsidRPr="004966BE">
        <w:rPr>
          <w:bCs/>
        </w:rPr>
        <w:t xml:space="preserve"> shall perform the remedial actions necessary to bring the services to the required</w:t>
      </w:r>
      <w:r w:rsidRPr="004966BE" w:rsidDel="00D04A3D">
        <w:rPr>
          <w:bCs/>
        </w:rPr>
        <w:t xml:space="preserve"> </w:t>
      </w:r>
      <w:r w:rsidRPr="004966BE">
        <w:rPr>
          <w:bCs/>
        </w:rPr>
        <w:t xml:space="preserve">performance level. Where the score awarded is below the required performance level, the </w:t>
      </w:r>
      <w:r>
        <w:rPr>
          <w:bCs/>
        </w:rPr>
        <w:t>Buyer</w:t>
      </w:r>
      <w:r w:rsidRPr="004966BE">
        <w:rPr>
          <w:bCs/>
        </w:rPr>
        <w:t xml:space="preserve"> shall detail that item(s) on the Contract Monitoring </w:t>
      </w:r>
      <w:r>
        <w:rPr>
          <w:bCs/>
        </w:rPr>
        <w:t>form</w:t>
      </w:r>
      <w:r w:rsidRPr="004966BE">
        <w:rPr>
          <w:bCs/>
        </w:rPr>
        <w:t xml:space="preserve"> and the remedial action(s) to be taken. If the </w:t>
      </w:r>
      <w:r>
        <w:rPr>
          <w:bCs/>
        </w:rPr>
        <w:t>Supplier</w:t>
      </w:r>
      <w:r w:rsidRPr="004966BE">
        <w:rPr>
          <w:bCs/>
        </w:rPr>
        <w:t xml:space="preserve"> is awarded figures indicating that performance is below the required level for the Contract in either of the next two subsequent quarters for the same service(s), this shall be deemed a Default by the </w:t>
      </w:r>
      <w:r>
        <w:rPr>
          <w:bCs/>
        </w:rPr>
        <w:t>Supplier</w:t>
      </w:r>
      <w:r w:rsidRPr="004966BE">
        <w:rPr>
          <w:bCs/>
        </w:rPr>
        <w:t xml:space="preserve"> and the </w:t>
      </w:r>
      <w:r>
        <w:rPr>
          <w:bCs/>
        </w:rPr>
        <w:t>Buyer</w:t>
      </w:r>
      <w:r w:rsidRPr="004966BE">
        <w:rPr>
          <w:bCs/>
        </w:rPr>
        <w:t xml:space="preserve"> may seek the remedies as specified in the Contract.</w:t>
      </w:r>
    </w:p>
    <w:p w14:paraId="09043565" w14:textId="77777777" w:rsidR="00F94D74" w:rsidRPr="004966BE" w:rsidRDefault="00F94D74" w:rsidP="00F94D74">
      <w:pPr>
        <w:spacing w:line="360" w:lineRule="auto"/>
        <w:rPr>
          <w:bCs/>
        </w:rPr>
      </w:pPr>
    </w:p>
    <w:p w14:paraId="7D0E6B69" w14:textId="77777777" w:rsidR="0011443F" w:rsidRPr="0011443F" w:rsidRDefault="0011443F" w:rsidP="00D769B2">
      <w:pPr>
        <w:spacing w:after="0" w:line="360" w:lineRule="auto"/>
        <w:ind w:left="360"/>
        <w:rPr>
          <w:rFonts w:eastAsia="Aptos" w:cs="Arial"/>
          <w:lang w:eastAsia="en-US"/>
          <w14:ligatures w14:val="standardContextual"/>
        </w:rPr>
      </w:pPr>
    </w:p>
    <w:p w14:paraId="001EA685" w14:textId="5265F239" w:rsidR="001A6841" w:rsidRPr="0011443F" w:rsidRDefault="001A6841" w:rsidP="001A6841">
      <w:pPr>
        <w:pBdr>
          <w:top w:val="nil"/>
          <w:left w:val="nil"/>
          <w:bottom w:val="nil"/>
          <w:right w:val="nil"/>
          <w:between w:val="nil"/>
        </w:pBdr>
        <w:spacing w:before="100"/>
        <w:rPr>
          <w:b/>
          <w:iCs/>
        </w:rPr>
      </w:pPr>
    </w:p>
    <w:p w14:paraId="55181788" w14:textId="77777777" w:rsidR="00C0489A" w:rsidRPr="0088685B" w:rsidRDefault="00C0489A">
      <w:pPr>
        <w:spacing w:before="120" w:after="120" w:line="240" w:lineRule="auto"/>
        <w:rPr>
          <w:rFonts w:cs="Arial"/>
          <w:b/>
          <w:i/>
        </w:rPr>
      </w:pPr>
    </w:p>
    <w:p w14:paraId="1F4DF6DC" w14:textId="260746E7" w:rsidR="0028495C" w:rsidRPr="0088685B" w:rsidRDefault="0028495C">
      <w:pPr>
        <w:spacing w:before="120" w:after="120" w:line="240" w:lineRule="auto"/>
        <w:rPr>
          <w:rFonts w:cs="Arial"/>
        </w:rPr>
        <w:sectPr w:rsidR="0028495C" w:rsidRPr="0088685B">
          <w:headerReference w:type="default" r:id="rId13"/>
          <w:footerReference w:type="default" r:id="rId14"/>
          <w:footerReference w:type="first" r:id="rId15"/>
          <w:pgSz w:w="11906" w:h="16838"/>
          <w:pgMar w:top="1440" w:right="1440" w:bottom="1440" w:left="1440" w:header="709" w:footer="709" w:gutter="0"/>
          <w:pgNumType w:start="1"/>
          <w:cols w:space="720"/>
        </w:sectPr>
      </w:pPr>
    </w:p>
    <w:p w14:paraId="3F4F5C9D" w14:textId="77777777" w:rsidR="00632765" w:rsidRPr="0088685B" w:rsidRDefault="00632765">
      <w:pPr>
        <w:spacing w:after="0"/>
        <w:rPr>
          <w:rFonts w:cs="Arial"/>
          <w:highlight w:val="green"/>
        </w:rPr>
      </w:pPr>
    </w:p>
    <w:tbl>
      <w:tblPr>
        <w:tblStyle w:val="2"/>
        <w:tblpPr w:leftFromText="180" w:rightFromText="180" w:vertAnchor="text"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2"/>
        <w:gridCol w:w="1755"/>
        <w:gridCol w:w="3261"/>
        <w:gridCol w:w="1417"/>
        <w:gridCol w:w="4249"/>
        <w:gridCol w:w="1624"/>
      </w:tblGrid>
      <w:tr w:rsidR="00632765" w:rsidRPr="0088685B" w:rsidDel="006D60FB" w14:paraId="380D3497" w14:textId="77777777" w:rsidTr="00632765">
        <w:trPr>
          <w:trHeight w:val="503"/>
          <w:tblHeader/>
        </w:trPr>
        <w:tc>
          <w:tcPr>
            <w:tcW w:w="1218" w:type="pct"/>
            <w:gridSpan w:val="2"/>
            <w:shd w:val="clear" w:color="auto" w:fill="D9D9D9" w:themeFill="background1" w:themeFillShade="D9"/>
          </w:tcPr>
          <w:p w14:paraId="564E5F99" w14:textId="77777777" w:rsidR="00632765" w:rsidRPr="0088685B" w:rsidRDefault="00632765" w:rsidP="006654BC">
            <w:pPr>
              <w:spacing w:before="120" w:after="120" w:line="240" w:lineRule="auto"/>
              <w:ind w:left="95"/>
              <w:jc w:val="center"/>
              <w:rPr>
                <w:rFonts w:cs="Arial"/>
                <w:b/>
                <w:sz w:val="20"/>
                <w:szCs w:val="20"/>
              </w:rPr>
            </w:pPr>
          </w:p>
        </w:tc>
        <w:tc>
          <w:tcPr>
            <w:tcW w:w="3782" w:type="pct"/>
            <w:gridSpan w:val="4"/>
            <w:shd w:val="clear" w:color="auto" w:fill="D9D9D9" w:themeFill="background1" w:themeFillShade="D9"/>
          </w:tcPr>
          <w:p w14:paraId="19AA5F0D" w14:textId="4F0A0692" w:rsidR="00632765" w:rsidRPr="0088685B" w:rsidDel="006D60FB" w:rsidRDefault="00632765" w:rsidP="006654BC">
            <w:pPr>
              <w:spacing w:before="120" w:after="120" w:line="240" w:lineRule="auto"/>
              <w:ind w:left="95"/>
              <w:jc w:val="center"/>
              <w:rPr>
                <w:rFonts w:cs="Arial"/>
                <w:b/>
                <w:sz w:val="20"/>
                <w:szCs w:val="20"/>
              </w:rPr>
            </w:pPr>
            <w:r w:rsidRPr="0088685B">
              <w:rPr>
                <w:rFonts w:cs="Arial"/>
                <w:b/>
                <w:sz w:val="20"/>
                <w:szCs w:val="20"/>
              </w:rPr>
              <w:t>Key Performance Indicators (KPIs)</w:t>
            </w:r>
            <w:r w:rsidR="00A96E71">
              <w:rPr>
                <w:rFonts w:cs="Arial"/>
                <w:b/>
                <w:sz w:val="20"/>
                <w:szCs w:val="20"/>
              </w:rPr>
              <w:t xml:space="preserve"> details</w:t>
            </w:r>
          </w:p>
        </w:tc>
      </w:tr>
      <w:tr w:rsidR="00632765" w:rsidRPr="0088685B" w14:paraId="085E69C1" w14:textId="77777777" w:rsidTr="002E1FCF">
        <w:trPr>
          <w:trHeight w:val="1240"/>
          <w:tblHeader/>
        </w:trPr>
        <w:tc>
          <w:tcPr>
            <w:tcW w:w="589" w:type="pct"/>
            <w:shd w:val="clear" w:color="auto" w:fill="D9D9D9" w:themeFill="background1" w:themeFillShade="D9"/>
          </w:tcPr>
          <w:p w14:paraId="04F7807F" w14:textId="77777777" w:rsidR="00632765" w:rsidRPr="0088685B" w:rsidRDefault="00632765" w:rsidP="00632765">
            <w:pPr>
              <w:spacing w:before="120" w:after="120" w:line="240" w:lineRule="auto"/>
              <w:ind w:left="61"/>
              <w:jc w:val="center"/>
              <w:rPr>
                <w:rFonts w:cs="Arial"/>
                <w:b/>
                <w:sz w:val="20"/>
                <w:szCs w:val="20"/>
              </w:rPr>
            </w:pPr>
            <w:r w:rsidRPr="0088685B">
              <w:rPr>
                <w:rFonts w:cs="Arial"/>
                <w:b/>
                <w:sz w:val="20"/>
                <w:szCs w:val="20"/>
              </w:rPr>
              <w:t>Key Performance Indicator Performance Criterion</w:t>
            </w:r>
          </w:p>
        </w:tc>
        <w:tc>
          <w:tcPr>
            <w:tcW w:w="629" w:type="pct"/>
            <w:shd w:val="clear" w:color="auto" w:fill="D9D9D9" w:themeFill="background1" w:themeFillShade="D9"/>
          </w:tcPr>
          <w:p w14:paraId="2609364B" w14:textId="77777777" w:rsidR="00632765" w:rsidRPr="0088685B" w:rsidRDefault="00632765" w:rsidP="00632765">
            <w:pPr>
              <w:spacing w:before="120" w:after="120" w:line="240" w:lineRule="auto"/>
              <w:ind w:left="95"/>
              <w:jc w:val="center"/>
              <w:rPr>
                <w:rFonts w:cs="Arial"/>
                <w:b/>
                <w:sz w:val="20"/>
                <w:szCs w:val="20"/>
              </w:rPr>
            </w:pPr>
            <w:r w:rsidRPr="0088685B">
              <w:rPr>
                <w:rFonts w:cs="Arial"/>
                <w:b/>
                <w:sz w:val="20"/>
                <w:szCs w:val="20"/>
              </w:rPr>
              <w:t>Key Indicator</w:t>
            </w:r>
          </w:p>
        </w:tc>
        <w:tc>
          <w:tcPr>
            <w:tcW w:w="1169" w:type="pct"/>
            <w:shd w:val="clear" w:color="auto" w:fill="D9D9D9" w:themeFill="background1" w:themeFillShade="D9"/>
          </w:tcPr>
          <w:p w14:paraId="4A74B0E4" w14:textId="77777777" w:rsidR="00632765" w:rsidRPr="0088685B" w:rsidRDefault="00632765" w:rsidP="00632765">
            <w:pPr>
              <w:spacing w:before="120" w:after="120" w:line="240" w:lineRule="auto"/>
              <w:jc w:val="center"/>
              <w:rPr>
                <w:rFonts w:cs="Arial"/>
                <w:b/>
                <w:sz w:val="20"/>
                <w:szCs w:val="20"/>
              </w:rPr>
            </w:pPr>
            <w:r w:rsidRPr="0088685B">
              <w:rPr>
                <w:rFonts w:cs="Arial"/>
                <w:b/>
                <w:sz w:val="20"/>
                <w:szCs w:val="20"/>
              </w:rPr>
              <w:t>KPI Performance Measure</w:t>
            </w:r>
          </w:p>
        </w:tc>
        <w:tc>
          <w:tcPr>
            <w:tcW w:w="508" w:type="pct"/>
            <w:shd w:val="clear" w:color="auto" w:fill="D9D9D9" w:themeFill="background1" w:themeFillShade="D9"/>
          </w:tcPr>
          <w:p w14:paraId="79B2E5E7" w14:textId="77777777" w:rsidR="00632765" w:rsidRPr="0088685B" w:rsidRDefault="00632765" w:rsidP="00632765">
            <w:pPr>
              <w:spacing w:before="120" w:after="120" w:line="240" w:lineRule="auto"/>
              <w:ind w:left="95"/>
              <w:jc w:val="center"/>
              <w:rPr>
                <w:rFonts w:cs="Arial"/>
                <w:b/>
                <w:sz w:val="20"/>
                <w:szCs w:val="20"/>
              </w:rPr>
            </w:pPr>
            <w:r w:rsidRPr="00E548CE">
              <w:rPr>
                <w:rFonts w:cs="Arial"/>
                <w:b/>
                <w:sz w:val="20"/>
                <w:szCs w:val="20"/>
              </w:rPr>
              <w:t>KPI Threshold</w:t>
            </w:r>
          </w:p>
        </w:tc>
        <w:tc>
          <w:tcPr>
            <w:tcW w:w="1523" w:type="pct"/>
            <w:shd w:val="clear" w:color="auto" w:fill="D9D9D9" w:themeFill="background1" w:themeFillShade="D9"/>
          </w:tcPr>
          <w:p w14:paraId="6673F42B" w14:textId="04346C27" w:rsidR="00632765" w:rsidRDefault="00632765" w:rsidP="00632765">
            <w:pPr>
              <w:spacing w:before="120" w:after="120" w:line="240" w:lineRule="auto"/>
              <w:ind w:left="95"/>
              <w:jc w:val="center"/>
              <w:rPr>
                <w:rFonts w:cs="Arial"/>
                <w:b/>
                <w:sz w:val="20"/>
                <w:szCs w:val="20"/>
              </w:rPr>
            </w:pPr>
            <w:r>
              <w:rPr>
                <w:rFonts w:cs="Arial"/>
                <w:b/>
                <w:sz w:val="20"/>
                <w:szCs w:val="20"/>
              </w:rPr>
              <w:t>Measurement Period</w:t>
            </w:r>
          </w:p>
        </w:tc>
        <w:tc>
          <w:tcPr>
            <w:tcW w:w="582" w:type="pct"/>
            <w:shd w:val="clear" w:color="auto" w:fill="D9D9D9" w:themeFill="background1" w:themeFillShade="D9"/>
          </w:tcPr>
          <w:p w14:paraId="5F2ACF45" w14:textId="5A1727B8" w:rsidR="00632765" w:rsidRPr="0088685B" w:rsidRDefault="00632765" w:rsidP="00632765">
            <w:pPr>
              <w:spacing w:before="120" w:after="120" w:line="240" w:lineRule="auto"/>
              <w:ind w:left="95"/>
              <w:jc w:val="center"/>
              <w:rPr>
                <w:rFonts w:cs="Arial"/>
                <w:b/>
                <w:sz w:val="18"/>
                <w:szCs w:val="20"/>
              </w:rPr>
            </w:pPr>
            <w:r>
              <w:rPr>
                <w:rFonts w:cs="Arial"/>
                <w:b/>
                <w:sz w:val="20"/>
                <w:szCs w:val="20"/>
              </w:rPr>
              <w:t>Score</w:t>
            </w:r>
          </w:p>
        </w:tc>
      </w:tr>
      <w:tr w:rsidR="00632765" w:rsidRPr="006A21C6" w14:paraId="18F5ADD7" w14:textId="77777777" w:rsidTr="002E1FCF">
        <w:trPr>
          <w:trHeight w:val="1474"/>
        </w:trPr>
        <w:tc>
          <w:tcPr>
            <w:tcW w:w="589" w:type="pct"/>
          </w:tcPr>
          <w:p w14:paraId="290BC2DE" w14:textId="7A53948A" w:rsidR="00632765" w:rsidRPr="006A21C6" w:rsidRDefault="00632765" w:rsidP="00632765">
            <w:pPr>
              <w:spacing w:before="120" w:after="120" w:line="240" w:lineRule="auto"/>
              <w:ind w:left="61"/>
              <w:rPr>
                <w:rFonts w:cs="Arial"/>
                <w:sz w:val="22"/>
                <w:szCs w:val="22"/>
              </w:rPr>
            </w:pPr>
            <w:r>
              <w:rPr>
                <w:rFonts w:cs="Arial"/>
                <w:bCs/>
                <w:sz w:val="22"/>
                <w:szCs w:val="22"/>
              </w:rPr>
              <w:t xml:space="preserve">KPI 1 </w:t>
            </w:r>
          </w:p>
        </w:tc>
        <w:tc>
          <w:tcPr>
            <w:tcW w:w="629" w:type="pct"/>
          </w:tcPr>
          <w:p w14:paraId="433F8980" w14:textId="0C704BA1" w:rsidR="00632765" w:rsidRPr="006A21C6" w:rsidRDefault="00632765" w:rsidP="00632765">
            <w:pPr>
              <w:spacing w:before="120" w:after="120" w:line="240" w:lineRule="auto"/>
              <w:ind w:left="95"/>
              <w:rPr>
                <w:rFonts w:cs="Arial"/>
                <w:sz w:val="22"/>
                <w:szCs w:val="22"/>
              </w:rPr>
            </w:pPr>
            <w:r w:rsidRPr="00BE6E59">
              <w:rPr>
                <w:rFonts w:cs="Arial"/>
              </w:rPr>
              <w:t>Security Clearance</w:t>
            </w:r>
          </w:p>
        </w:tc>
        <w:tc>
          <w:tcPr>
            <w:tcW w:w="1169" w:type="pct"/>
          </w:tcPr>
          <w:p w14:paraId="778ADEF2" w14:textId="388D7091" w:rsidR="00632765" w:rsidRPr="006A21C6" w:rsidRDefault="00632765" w:rsidP="00632765">
            <w:pPr>
              <w:spacing w:before="120" w:after="120" w:line="240" w:lineRule="auto"/>
              <w:rPr>
                <w:rFonts w:cs="Arial"/>
                <w:sz w:val="22"/>
                <w:szCs w:val="22"/>
              </w:rPr>
            </w:pPr>
            <w:r w:rsidRPr="00BE6E59">
              <w:rPr>
                <w:rFonts w:cs="Arial"/>
              </w:rPr>
              <w:t xml:space="preserve">All Contract staff to have the correct level of security clearance for the </w:t>
            </w:r>
            <w:r w:rsidR="00A621FD">
              <w:rPr>
                <w:rFonts w:cs="Arial"/>
              </w:rPr>
              <w:t>Buyer</w:t>
            </w:r>
            <w:r w:rsidRPr="00BE6E59">
              <w:rPr>
                <w:rFonts w:cs="Arial"/>
              </w:rPr>
              <w:t>’s Business Areas.</w:t>
            </w:r>
          </w:p>
        </w:tc>
        <w:tc>
          <w:tcPr>
            <w:tcW w:w="508" w:type="pct"/>
          </w:tcPr>
          <w:p w14:paraId="5D12CE91" w14:textId="55BF6DD8" w:rsidR="00EF4697" w:rsidRDefault="00A54C9A" w:rsidP="00A54C9A">
            <w:pPr>
              <w:spacing w:before="120" w:after="120" w:line="240" w:lineRule="auto"/>
              <w:jc w:val="center"/>
              <w:rPr>
                <w:rFonts w:cs="Arial"/>
                <w:sz w:val="22"/>
                <w:szCs w:val="22"/>
              </w:rPr>
            </w:pPr>
            <w:r>
              <w:rPr>
                <w:rFonts w:cs="Arial"/>
                <w:sz w:val="22"/>
                <w:szCs w:val="22"/>
              </w:rPr>
              <w:t>Pass</w:t>
            </w:r>
          </w:p>
          <w:p w14:paraId="2597D5E3" w14:textId="79CD8922" w:rsidR="00632765" w:rsidRPr="002E1FCF" w:rsidRDefault="00632765" w:rsidP="00632765">
            <w:pPr>
              <w:spacing w:before="120" w:after="120" w:line="240" w:lineRule="auto"/>
              <w:ind w:left="95"/>
              <w:rPr>
                <w:rFonts w:cs="Arial"/>
                <w:sz w:val="22"/>
                <w:szCs w:val="22"/>
                <w:highlight w:val="yellow"/>
              </w:rPr>
            </w:pPr>
          </w:p>
        </w:tc>
        <w:tc>
          <w:tcPr>
            <w:tcW w:w="1523" w:type="pct"/>
          </w:tcPr>
          <w:p w14:paraId="69F7EAEE" w14:textId="6CF38098" w:rsidR="00632765" w:rsidRDefault="00632765" w:rsidP="00632765">
            <w:pPr>
              <w:spacing w:before="120" w:after="120" w:line="240" w:lineRule="auto"/>
              <w:rPr>
                <w:rFonts w:cs="Arial"/>
                <w:bCs/>
                <w:sz w:val="22"/>
                <w:szCs w:val="22"/>
              </w:rPr>
            </w:pPr>
            <w:r w:rsidRPr="00BE6E59">
              <w:rPr>
                <w:rFonts w:cs="Arial"/>
              </w:rPr>
              <w:t xml:space="preserve">Quarterly Performance Report from </w:t>
            </w:r>
            <w:r w:rsidR="00A621FD">
              <w:rPr>
                <w:rFonts w:cs="Arial"/>
              </w:rPr>
              <w:t>Supplier</w:t>
            </w:r>
            <w:r w:rsidRPr="00BE6E59">
              <w:rPr>
                <w:rFonts w:cs="Arial"/>
              </w:rPr>
              <w:t xml:space="preserve"> and </w:t>
            </w:r>
            <w:r w:rsidR="00A621FD">
              <w:rPr>
                <w:rFonts w:cs="Arial"/>
              </w:rPr>
              <w:t>Buyer</w:t>
            </w:r>
            <w:r w:rsidRPr="00BE6E59">
              <w:rPr>
                <w:rFonts w:cs="Arial"/>
              </w:rPr>
              <w:t xml:space="preserve">’s Business areas and reports to the </w:t>
            </w:r>
            <w:r w:rsidR="00A621FD">
              <w:rPr>
                <w:rFonts w:cs="Arial"/>
              </w:rPr>
              <w:t>Buyer</w:t>
            </w:r>
            <w:r w:rsidRPr="00BE6E59">
              <w:rPr>
                <w:rFonts w:cs="Arial"/>
              </w:rPr>
              <w:t>’s Information Manager.</w:t>
            </w:r>
          </w:p>
        </w:tc>
        <w:tc>
          <w:tcPr>
            <w:tcW w:w="582" w:type="pct"/>
          </w:tcPr>
          <w:p w14:paraId="13901155" w14:textId="49BA8C56" w:rsidR="00632765" w:rsidRPr="006A21C6" w:rsidRDefault="00632765" w:rsidP="00632765">
            <w:pPr>
              <w:spacing w:before="120" w:after="120" w:line="240" w:lineRule="auto"/>
              <w:rPr>
                <w:rFonts w:cs="Arial"/>
                <w:sz w:val="22"/>
                <w:szCs w:val="22"/>
              </w:rPr>
            </w:pPr>
            <w:r w:rsidRPr="00BE6E59">
              <w:rPr>
                <w:rFonts w:cs="Arial"/>
              </w:rPr>
              <w:t>Pass/ Fail</w:t>
            </w:r>
          </w:p>
        </w:tc>
      </w:tr>
      <w:tr w:rsidR="00114981" w:rsidRPr="006A21C6" w14:paraId="08307D93" w14:textId="77777777" w:rsidTr="002E1FCF">
        <w:trPr>
          <w:trHeight w:val="1474"/>
        </w:trPr>
        <w:tc>
          <w:tcPr>
            <w:tcW w:w="589" w:type="pct"/>
          </w:tcPr>
          <w:p w14:paraId="2C6CE7D2" w14:textId="2A216813" w:rsidR="00114981" w:rsidRDefault="00114981" w:rsidP="00632765">
            <w:pPr>
              <w:spacing w:before="120" w:after="120" w:line="240" w:lineRule="auto"/>
              <w:ind w:left="61"/>
              <w:rPr>
                <w:rFonts w:cs="Arial"/>
                <w:bCs/>
                <w:sz w:val="22"/>
                <w:szCs w:val="22"/>
              </w:rPr>
            </w:pPr>
            <w:r>
              <w:rPr>
                <w:rFonts w:cs="Arial"/>
                <w:bCs/>
                <w:sz w:val="22"/>
                <w:szCs w:val="22"/>
              </w:rPr>
              <w:t xml:space="preserve">KPI 2 </w:t>
            </w:r>
          </w:p>
        </w:tc>
        <w:tc>
          <w:tcPr>
            <w:tcW w:w="629" w:type="pct"/>
          </w:tcPr>
          <w:p w14:paraId="69062AB2" w14:textId="69C8F2FA" w:rsidR="00114981" w:rsidRPr="00BE6E59" w:rsidRDefault="00114981" w:rsidP="00632765">
            <w:pPr>
              <w:spacing w:before="120" w:after="120" w:line="240" w:lineRule="auto"/>
              <w:ind w:left="95"/>
              <w:rPr>
                <w:rFonts w:cs="Arial"/>
              </w:rPr>
            </w:pPr>
            <w:r w:rsidRPr="00BE6E59">
              <w:rPr>
                <w:rFonts w:cs="Arial"/>
              </w:rPr>
              <w:t>Retrieval service</w:t>
            </w:r>
          </w:p>
        </w:tc>
        <w:tc>
          <w:tcPr>
            <w:tcW w:w="1169" w:type="pct"/>
          </w:tcPr>
          <w:p w14:paraId="740F1FD1" w14:textId="77777777" w:rsidR="00114981" w:rsidRDefault="00114981" w:rsidP="00632765">
            <w:pPr>
              <w:spacing w:before="120" w:after="120" w:line="240" w:lineRule="auto"/>
              <w:rPr>
                <w:rFonts w:cs="Arial"/>
              </w:rPr>
            </w:pPr>
            <w:r w:rsidRPr="00BE6E59">
              <w:rPr>
                <w:rFonts w:cs="Arial"/>
              </w:rPr>
              <w:t>Accuracy of Retrievals</w:t>
            </w:r>
            <w:r>
              <w:rPr>
                <w:rFonts w:cs="Arial"/>
              </w:rPr>
              <w:t>, the supplier must</w:t>
            </w:r>
          </w:p>
          <w:p w14:paraId="06245835" w14:textId="77777777" w:rsidR="00114981" w:rsidRDefault="00114981" w:rsidP="00114981">
            <w:pPr>
              <w:pStyle w:val="ListParagraph"/>
              <w:numPr>
                <w:ilvl w:val="0"/>
                <w:numId w:val="16"/>
              </w:numPr>
              <w:spacing w:before="120" w:after="120" w:line="240" w:lineRule="auto"/>
              <w:rPr>
                <w:rFonts w:cs="Arial"/>
              </w:rPr>
            </w:pPr>
            <w:r w:rsidRPr="00114981">
              <w:rPr>
                <w:rFonts w:cs="Arial"/>
              </w:rPr>
              <w:t>retrieve and deliver the correct box to the correct business area</w:t>
            </w:r>
          </w:p>
          <w:p w14:paraId="49F38F0D" w14:textId="1A222B2F" w:rsidR="004D07CD" w:rsidRDefault="004D07CD" w:rsidP="00114981">
            <w:pPr>
              <w:pStyle w:val="ListParagraph"/>
              <w:numPr>
                <w:ilvl w:val="0"/>
                <w:numId w:val="16"/>
              </w:numPr>
              <w:spacing w:before="120" w:after="120" w:line="240" w:lineRule="auto"/>
              <w:rPr>
                <w:rFonts w:cs="Arial"/>
              </w:rPr>
            </w:pPr>
            <w:r w:rsidRPr="00114981">
              <w:rPr>
                <w:rFonts w:cs="Arial"/>
              </w:rPr>
              <w:t xml:space="preserve">retrieve and deliver </w:t>
            </w:r>
            <w:r>
              <w:rPr>
                <w:rFonts w:cs="Arial"/>
              </w:rPr>
              <w:t>within the Timescales</w:t>
            </w:r>
          </w:p>
          <w:p w14:paraId="2CA0CC7A" w14:textId="6373A44A" w:rsidR="004D07CD" w:rsidRPr="00114981" w:rsidRDefault="004D07CD" w:rsidP="00114981">
            <w:pPr>
              <w:pStyle w:val="ListParagraph"/>
              <w:numPr>
                <w:ilvl w:val="0"/>
                <w:numId w:val="16"/>
              </w:numPr>
              <w:spacing w:before="120" w:after="120" w:line="240" w:lineRule="auto"/>
              <w:rPr>
                <w:rFonts w:cs="Arial"/>
              </w:rPr>
            </w:pPr>
            <w:r w:rsidRPr="00BE6E59">
              <w:rPr>
                <w:rFonts w:cs="Arial"/>
              </w:rPr>
              <w:t>boxes must be delivered in good condition to ensure records are not damaged or accessible in transit.</w:t>
            </w:r>
          </w:p>
        </w:tc>
        <w:tc>
          <w:tcPr>
            <w:tcW w:w="508" w:type="pct"/>
          </w:tcPr>
          <w:p w14:paraId="2FD127AF" w14:textId="5B906B61" w:rsidR="00114981" w:rsidRDefault="002B423E" w:rsidP="00A54C9A">
            <w:pPr>
              <w:spacing w:before="120" w:after="120" w:line="240" w:lineRule="auto"/>
              <w:jc w:val="center"/>
              <w:rPr>
                <w:rFonts w:cs="Arial"/>
                <w:sz w:val="22"/>
                <w:szCs w:val="22"/>
              </w:rPr>
            </w:pPr>
            <w:r>
              <w:rPr>
                <w:rFonts w:cs="Arial"/>
                <w:sz w:val="22"/>
                <w:szCs w:val="22"/>
              </w:rPr>
              <w:t>95%</w:t>
            </w:r>
          </w:p>
        </w:tc>
        <w:tc>
          <w:tcPr>
            <w:tcW w:w="1523" w:type="pct"/>
          </w:tcPr>
          <w:p w14:paraId="09EAED06" w14:textId="77777777" w:rsidR="00114981" w:rsidRDefault="004D07CD" w:rsidP="004D07CD">
            <w:pPr>
              <w:pStyle w:val="ListParagraph"/>
              <w:numPr>
                <w:ilvl w:val="0"/>
                <w:numId w:val="16"/>
              </w:numPr>
              <w:spacing w:before="120" w:after="120" w:line="240" w:lineRule="auto"/>
              <w:rPr>
                <w:rFonts w:cs="Arial"/>
              </w:rPr>
            </w:pPr>
            <w:r w:rsidRPr="004D07CD">
              <w:rPr>
                <w:rFonts w:cs="Arial"/>
              </w:rPr>
              <w:t>Incorrect boxes must be reported by the Buyer’s Business Area Representative to the Supplier immediately.  Details of late retrievals must be included in the quarterly service reports.</w:t>
            </w:r>
          </w:p>
          <w:p w14:paraId="2DBDE3D7" w14:textId="68DA7576" w:rsidR="004D07CD" w:rsidRDefault="004D07CD" w:rsidP="004D07CD">
            <w:pPr>
              <w:pStyle w:val="ListParagraph"/>
              <w:numPr>
                <w:ilvl w:val="0"/>
                <w:numId w:val="16"/>
              </w:numPr>
              <w:spacing w:before="120" w:after="120" w:line="240" w:lineRule="auto"/>
              <w:rPr>
                <w:rFonts w:cs="Arial"/>
              </w:rPr>
            </w:pPr>
            <w:r w:rsidRPr="00BE6E59">
              <w:rPr>
                <w:rFonts w:cs="Arial"/>
              </w:rPr>
              <w:t xml:space="preserve">Late retrievals must be reported by the </w:t>
            </w:r>
            <w:r>
              <w:rPr>
                <w:rFonts w:cs="Arial"/>
              </w:rPr>
              <w:t>Buyer</w:t>
            </w:r>
            <w:r w:rsidRPr="00BE6E59">
              <w:rPr>
                <w:rFonts w:cs="Arial"/>
              </w:rPr>
              <w:t xml:space="preserve">’s Business Area Representative to the </w:t>
            </w:r>
            <w:r>
              <w:rPr>
                <w:rFonts w:cs="Arial"/>
              </w:rPr>
              <w:t>Supplier</w:t>
            </w:r>
            <w:r w:rsidRPr="00BE6E59">
              <w:rPr>
                <w:rFonts w:cs="Arial"/>
              </w:rPr>
              <w:t xml:space="preserve"> immediately. The </w:t>
            </w:r>
            <w:r>
              <w:rPr>
                <w:rFonts w:cs="Arial"/>
              </w:rPr>
              <w:t>Buyer</w:t>
            </w:r>
            <w:r w:rsidRPr="00BE6E59">
              <w:rPr>
                <w:rFonts w:cs="Arial"/>
              </w:rPr>
              <w:t xml:space="preserve">’s Business Area Representative must escalate all issues to the </w:t>
            </w:r>
            <w:r>
              <w:rPr>
                <w:rFonts w:cs="Arial"/>
              </w:rPr>
              <w:t>Buyer</w:t>
            </w:r>
            <w:r w:rsidRPr="00BE6E59">
              <w:rPr>
                <w:rFonts w:cs="Arial"/>
              </w:rPr>
              <w:t>’s Information Manager for the quarterly performance review meeting.</w:t>
            </w:r>
            <w:r>
              <w:rPr>
                <w:rFonts w:cs="Arial"/>
              </w:rPr>
              <w:t xml:space="preserve"> </w:t>
            </w:r>
            <w:r w:rsidRPr="00BE6E59">
              <w:rPr>
                <w:rFonts w:cs="Arial"/>
              </w:rPr>
              <w:t xml:space="preserve">Details of late </w:t>
            </w:r>
            <w:r w:rsidRPr="00BE6E59">
              <w:rPr>
                <w:rFonts w:cs="Arial"/>
              </w:rPr>
              <w:lastRenderedPageBreak/>
              <w:t>retrievals must be included in the quarterly service reports.</w:t>
            </w:r>
          </w:p>
          <w:p w14:paraId="05EC235E" w14:textId="25894F59" w:rsidR="004D07CD" w:rsidRPr="004D07CD" w:rsidRDefault="004D07CD" w:rsidP="00632765">
            <w:pPr>
              <w:pStyle w:val="ListParagraph"/>
              <w:numPr>
                <w:ilvl w:val="0"/>
                <w:numId w:val="16"/>
              </w:numPr>
              <w:spacing w:before="120" w:after="120" w:line="240" w:lineRule="auto"/>
              <w:rPr>
                <w:rFonts w:cs="Arial"/>
              </w:rPr>
            </w:pPr>
            <w:r w:rsidRPr="00BE6E59">
              <w:rPr>
                <w:rFonts w:cs="Arial"/>
              </w:rPr>
              <w:t xml:space="preserve">Damaged boxes must be reported by the </w:t>
            </w:r>
            <w:r>
              <w:rPr>
                <w:rFonts w:cs="Arial"/>
              </w:rPr>
              <w:t>Buyer’s</w:t>
            </w:r>
            <w:r w:rsidRPr="00BE6E59">
              <w:rPr>
                <w:rFonts w:cs="Arial"/>
              </w:rPr>
              <w:t xml:space="preserve"> Business Representative to the </w:t>
            </w:r>
            <w:r>
              <w:rPr>
                <w:rFonts w:cs="Arial"/>
              </w:rPr>
              <w:t>Supplier</w:t>
            </w:r>
            <w:r w:rsidRPr="00BE6E59">
              <w:rPr>
                <w:rFonts w:cs="Arial"/>
              </w:rPr>
              <w:t xml:space="preserve"> immediately.  Details of </w:t>
            </w:r>
            <w:r>
              <w:rPr>
                <w:rFonts w:cs="Arial"/>
              </w:rPr>
              <w:t>damaged boxes</w:t>
            </w:r>
            <w:r w:rsidRPr="00BE6E59">
              <w:rPr>
                <w:rFonts w:cs="Arial"/>
              </w:rPr>
              <w:t xml:space="preserve"> must be included in the quarterly service reports.</w:t>
            </w:r>
          </w:p>
        </w:tc>
        <w:tc>
          <w:tcPr>
            <w:tcW w:w="582" w:type="pct"/>
          </w:tcPr>
          <w:p w14:paraId="4F1588DE" w14:textId="77777777" w:rsidR="00114981" w:rsidRPr="00BE6E59" w:rsidRDefault="00114981" w:rsidP="00632765">
            <w:pPr>
              <w:spacing w:before="120" w:after="120" w:line="240" w:lineRule="auto"/>
              <w:rPr>
                <w:rFonts w:cs="Arial"/>
              </w:rPr>
            </w:pPr>
          </w:p>
        </w:tc>
      </w:tr>
      <w:tr w:rsidR="002E1FCF" w:rsidRPr="000317D8" w14:paraId="47430FA8" w14:textId="77777777" w:rsidTr="002E1FCF">
        <w:trPr>
          <w:trHeight w:val="1474"/>
        </w:trPr>
        <w:tc>
          <w:tcPr>
            <w:tcW w:w="589" w:type="pct"/>
          </w:tcPr>
          <w:p w14:paraId="7DBAC54A" w14:textId="7064C30D" w:rsidR="002E1FCF" w:rsidRDefault="002E1FCF" w:rsidP="002E1FCF">
            <w:pPr>
              <w:spacing w:before="120" w:after="120" w:line="240" w:lineRule="auto"/>
              <w:ind w:left="61"/>
              <w:rPr>
                <w:rFonts w:cs="Arial"/>
                <w:sz w:val="22"/>
                <w:szCs w:val="22"/>
              </w:rPr>
            </w:pPr>
            <w:r>
              <w:rPr>
                <w:rFonts w:cs="Arial"/>
                <w:sz w:val="22"/>
                <w:szCs w:val="22"/>
              </w:rPr>
              <w:t xml:space="preserve">KPI </w:t>
            </w:r>
            <w:r w:rsidR="004D07CD">
              <w:rPr>
                <w:rFonts w:cs="Arial"/>
                <w:sz w:val="22"/>
                <w:szCs w:val="22"/>
              </w:rPr>
              <w:t>3</w:t>
            </w:r>
          </w:p>
        </w:tc>
        <w:tc>
          <w:tcPr>
            <w:tcW w:w="629" w:type="pct"/>
          </w:tcPr>
          <w:p w14:paraId="012F944F" w14:textId="5D2218CD" w:rsidR="002E1FCF" w:rsidRPr="000317D8" w:rsidRDefault="002E1FCF" w:rsidP="002E1FCF">
            <w:pPr>
              <w:spacing w:before="120" w:after="120" w:line="240" w:lineRule="auto"/>
              <w:ind w:left="95"/>
              <w:rPr>
                <w:rFonts w:cs="Arial"/>
                <w:sz w:val="22"/>
                <w:szCs w:val="22"/>
              </w:rPr>
            </w:pPr>
            <w:r w:rsidRPr="00BE6E59">
              <w:rPr>
                <w:rFonts w:cs="Arial"/>
              </w:rPr>
              <w:t>Collection Service</w:t>
            </w:r>
          </w:p>
        </w:tc>
        <w:tc>
          <w:tcPr>
            <w:tcW w:w="1169" w:type="pct"/>
          </w:tcPr>
          <w:p w14:paraId="195947E2" w14:textId="08C26023" w:rsidR="002E1FCF" w:rsidRPr="000317D8" w:rsidRDefault="002E1FCF" w:rsidP="002E1FCF">
            <w:pPr>
              <w:spacing w:before="120" w:after="120" w:line="240" w:lineRule="auto"/>
              <w:rPr>
                <w:rFonts w:cs="Arial"/>
                <w:sz w:val="22"/>
                <w:szCs w:val="22"/>
              </w:rPr>
            </w:pPr>
            <w:r w:rsidRPr="00BE6E59">
              <w:rPr>
                <w:rFonts w:cs="Arial"/>
              </w:rPr>
              <w:t xml:space="preserve">Adherence to Response times - the </w:t>
            </w:r>
            <w:r w:rsidR="00A621FD">
              <w:rPr>
                <w:rFonts w:cs="Arial"/>
              </w:rPr>
              <w:t>Supplier</w:t>
            </w:r>
            <w:r w:rsidRPr="00BE6E59">
              <w:rPr>
                <w:rFonts w:cs="Arial"/>
              </w:rPr>
              <w:t xml:space="preserve"> must collect the boxes within 2 days of the request being placed by the Business area.</w:t>
            </w:r>
          </w:p>
        </w:tc>
        <w:tc>
          <w:tcPr>
            <w:tcW w:w="508" w:type="pct"/>
          </w:tcPr>
          <w:p w14:paraId="112770E3" w14:textId="644AA80B" w:rsidR="002E1FCF" w:rsidRPr="000317D8" w:rsidRDefault="00A54C9A" w:rsidP="00A54C9A">
            <w:pPr>
              <w:spacing w:before="120" w:after="120" w:line="240" w:lineRule="auto"/>
              <w:jc w:val="center"/>
              <w:rPr>
                <w:rFonts w:cs="Arial"/>
                <w:sz w:val="22"/>
                <w:szCs w:val="22"/>
              </w:rPr>
            </w:pPr>
            <w:r>
              <w:rPr>
                <w:rFonts w:cs="Arial"/>
                <w:sz w:val="22"/>
                <w:szCs w:val="22"/>
              </w:rPr>
              <w:t>3</w:t>
            </w:r>
          </w:p>
        </w:tc>
        <w:tc>
          <w:tcPr>
            <w:tcW w:w="1523" w:type="pct"/>
          </w:tcPr>
          <w:p w14:paraId="312273E5" w14:textId="4D1592CC" w:rsidR="002E1FCF" w:rsidRDefault="002E1FCF" w:rsidP="002E1FCF">
            <w:pPr>
              <w:spacing w:before="120" w:after="120" w:line="240" w:lineRule="auto"/>
              <w:rPr>
                <w:rFonts w:cs="Arial"/>
                <w:sz w:val="22"/>
                <w:szCs w:val="22"/>
              </w:rPr>
            </w:pPr>
            <w:r w:rsidRPr="00BE6E59">
              <w:rPr>
                <w:rFonts w:cs="Arial"/>
              </w:rPr>
              <w:t xml:space="preserve">Late collections must be reported by the </w:t>
            </w:r>
            <w:r w:rsidR="00A621FD">
              <w:rPr>
                <w:rFonts w:cs="Arial"/>
              </w:rPr>
              <w:t>Buyer</w:t>
            </w:r>
            <w:r w:rsidRPr="00BE6E59">
              <w:rPr>
                <w:rFonts w:cs="Arial"/>
              </w:rPr>
              <w:t xml:space="preserve">’s Business Area Representative to the </w:t>
            </w:r>
            <w:r w:rsidR="00A621FD">
              <w:rPr>
                <w:rFonts w:cs="Arial"/>
              </w:rPr>
              <w:t>Supplier</w:t>
            </w:r>
            <w:r w:rsidRPr="00BE6E59">
              <w:rPr>
                <w:rFonts w:cs="Arial"/>
              </w:rPr>
              <w:t xml:space="preserve"> immediately.  Details of late retrievals must be included in the quarterly service reports.</w:t>
            </w:r>
          </w:p>
        </w:tc>
        <w:tc>
          <w:tcPr>
            <w:tcW w:w="582" w:type="pct"/>
          </w:tcPr>
          <w:p w14:paraId="11C4D599" w14:textId="3F5F749D" w:rsidR="002E1FCF" w:rsidRPr="000317D8" w:rsidRDefault="002E1FCF" w:rsidP="002E1FCF">
            <w:pPr>
              <w:spacing w:before="120" w:after="120" w:line="240" w:lineRule="auto"/>
              <w:rPr>
                <w:rFonts w:cs="Arial"/>
                <w:sz w:val="22"/>
                <w:szCs w:val="22"/>
              </w:rPr>
            </w:pPr>
            <w:r w:rsidRPr="00BE6E59">
              <w:rPr>
                <w:rFonts w:cs="Arial"/>
              </w:rPr>
              <w:t>1, 2 or 3</w:t>
            </w:r>
          </w:p>
        </w:tc>
      </w:tr>
      <w:tr w:rsidR="002E1FCF" w:rsidRPr="000317D8" w14:paraId="5C663A06" w14:textId="77777777" w:rsidTr="00EF4697">
        <w:trPr>
          <w:trHeight w:val="626"/>
        </w:trPr>
        <w:tc>
          <w:tcPr>
            <w:tcW w:w="589" w:type="pct"/>
          </w:tcPr>
          <w:p w14:paraId="5AE8E34C" w14:textId="791A4A35" w:rsidR="002E1FCF" w:rsidRDefault="002E1FCF" w:rsidP="002E1FCF">
            <w:pPr>
              <w:spacing w:before="120" w:after="120" w:line="240" w:lineRule="auto"/>
              <w:ind w:left="61"/>
              <w:rPr>
                <w:rFonts w:cs="Arial"/>
                <w:sz w:val="22"/>
                <w:szCs w:val="22"/>
              </w:rPr>
            </w:pPr>
            <w:r>
              <w:rPr>
                <w:rFonts w:cs="Arial"/>
                <w:sz w:val="22"/>
                <w:szCs w:val="22"/>
              </w:rPr>
              <w:t xml:space="preserve">KPI </w:t>
            </w:r>
            <w:r w:rsidR="004D07CD">
              <w:rPr>
                <w:rFonts w:cs="Arial"/>
                <w:sz w:val="22"/>
                <w:szCs w:val="22"/>
              </w:rPr>
              <w:t>4</w:t>
            </w:r>
          </w:p>
        </w:tc>
        <w:tc>
          <w:tcPr>
            <w:tcW w:w="629" w:type="pct"/>
          </w:tcPr>
          <w:p w14:paraId="3364BE6A" w14:textId="20E78EDA" w:rsidR="002E1FCF" w:rsidRPr="000317D8" w:rsidRDefault="002E1FCF" w:rsidP="002E1FCF">
            <w:pPr>
              <w:spacing w:before="120" w:after="120" w:line="240" w:lineRule="auto"/>
              <w:ind w:left="95"/>
              <w:rPr>
                <w:rFonts w:cs="Arial"/>
                <w:sz w:val="22"/>
                <w:szCs w:val="22"/>
              </w:rPr>
            </w:pPr>
            <w:r w:rsidRPr="00BE6E59">
              <w:rPr>
                <w:rFonts w:cs="Arial"/>
              </w:rPr>
              <w:t>Invoicing</w:t>
            </w:r>
          </w:p>
        </w:tc>
        <w:tc>
          <w:tcPr>
            <w:tcW w:w="1169" w:type="pct"/>
          </w:tcPr>
          <w:p w14:paraId="3AE9C040" w14:textId="5ABB9558" w:rsidR="002E1FCF" w:rsidRPr="000317D8" w:rsidRDefault="002E1FCF" w:rsidP="002E1FCF">
            <w:pPr>
              <w:spacing w:before="120" w:after="120" w:line="240" w:lineRule="auto"/>
              <w:rPr>
                <w:rFonts w:cs="Arial"/>
                <w:sz w:val="22"/>
                <w:szCs w:val="22"/>
              </w:rPr>
            </w:pPr>
            <w:r w:rsidRPr="00BE6E59">
              <w:rPr>
                <w:rFonts w:cs="Arial"/>
              </w:rPr>
              <w:t xml:space="preserve">Timely and correct invoices - e-invoices must be received by the Business Area via Account NI on a monthly basis. Back up detail must be e-mailed to the </w:t>
            </w:r>
            <w:r w:rsidR="00A621FD">
              <w:rPr>
                <w:rFonts w:cs="Arial"/>
              </w:rPr>
              <w:t>Buyer</w:t>
            </w:r>
            <w:r w:rsidRPr="00BE6E59">
              <w:rPr>
                <w:rFonts w:cs="Arial"/>
              </w:rPr>
              <w:t xml:space="preserve">’s Business Area Representative 5 days prior </w:t>
            </w:r>
            <w:r w:rsidRPr="00BE6E59">
              <w:rPr>
                <w:rFonts w:cs="Arial"/>
              </w:rPr>
              <w:lastRenderedPageBreak/>
              <w:t>to allow time for data reconciliation.</w:t>
            </w:r>
          </w:p>
        </w:tc>
        <w:tc>
          <w:tcPr>
            <w:tcW w:w="508" w:type="pct"/>
          </w:tcPr>
          <w:p w14:paraId="348125A0" w14:textId="4F495C5D" w:rsidR="002E1FCF" w:rsidRPr="000317D8" w:rsidRDefault="00A54C9A" w:rsidP="00A54C9A">
            <w:pPr>
              <w:spacing w:before="120" w:after="120" w:line="240" w:lineRule="auto"/>
              <w:jc w:val="center"/>
              <w:rPr>
                <w:rFonts w:cs="Arial"/>
                <w:sz w:val="22"/>
                <w:szCs w:val="22"/>
              </w:rPr>
            </w:pPr>
            <w:r>
              <w:rPr>
                <w:rFonts w:cs="Arial"/>
                <w:sz w:val="22"/>
                <w:szCs w:val="22"/>
              </w:rPr>
              <w:lastRenderedPageBreak/>
              <w:t>3</w:t>
            </w:r>
          </w:p>
        </w:tc>
        <w:tc>
          <w:tcPr>
            <w:tcW w:w="1523" w:type="pct"/>
          </w:tcPr>
          <w:p w14:paraId="598D44D0" w14:textId="1A5D73B3" w:rsidR="002E1FCF" w:rsidRDefault="002E1FCF" w:rsidP="002E1FCF">
            <w:pPr>
              <w:spacing w:before="120" w:after="120" w:line="240" w:lineRule="auto"/>
              <w:rPr>
                <w:rFonts w:cs="Arial"/>
                <w:sz w:val="22"/>
                <w:szCs w:val="22"/>
              </w:rPr>
            </w:pPr>
            <w:r w:rsidRPr="00BE6E59">
              <w:rPr>
                <w:rFonts w:cs="Arial"/>
              </w:rPr>
              <w:t>Incorrect invoices or late receipt of back up detail must be reported by the</w:t>
            </w:r>
            <w:r w:rsidR="00A621FD">
              <w:rPr>
                <w:rFonts w:cs="Arial"/>
              </w:rPr>
              <w:t xml:space="preserve"> Buyer</w:t>
            </w:r>
            <w:r w:rsidRPr="00BE6E59">
              <w:rPr>
                <w:rFonts w:cs="Arial"/>
              </w:rPr>
              <w:t xml:space="preserve">’s Business Area Representative to the </w:t>
            </w:r>
            <w:r w:rsidR="00A621FD">
              <w:rPr>
                <w:rFonts w:cs="Arial"/>
              </w:rPr>
              <w:t>Supplier</w:t>
            </w:r>
            <w:r w:rsidRPr="00BE6E59">
              <w:rPr>
                <w:rFonts w:cs="Arial"/>
              </w:rPr>
              <w:t xml:space="preserve"> immediately.</w:t>
            </w:r>
          </w:p>
        </w:tc>
        <w:tc>
          <w:tcPr>
            <w:tcW w:w="582" w:type="pct"/>
          </w:tcPr>
          <w:p w14:paraId="1B95C9AA" w14:textId="44F1E24A" w:rsidR="002E1FCF" w:rsidRPr="000317D8" w:rsidRDefault="002E1FCF" w:rsidP="002E1FCF">
            <w:pPr>
              <w:spacing w:before="120" w:after="120" w:line="240" w:lineRule="auto"/>
              <w:rPr>
                <w:rFonts w:cs="Arial"/>
                <w:sz w:val="22"/>
                <w:szCs w:val="22"/>
              </w:rPr>
            </w:pPr>
            <w:r w:rsidRPr="00BE6E59">
              <w:rPr>
                <w:rFonts w:cs="Arial"/>
              </w:rPr>
              <w:t>1, 2 or 3</w:t>
            </w:r>
          </w:p>
        </w:tc>
      </w:tr>
      <w:tr w:rsidR="002E1FCF" w:rsidRPr="000317D8" w14:paraId="4448869E" w14:textId="77777777" w:rsidTr="002E1FCF">
        <w:trPr>
          <w:trHeight w:val="1474"/>
        </w:trPr>
        <w:tc>
          <w:tcPr>
            <w:tcW w:w="589" w:type="pct"/>
          </w:tcPr>
          <w:p w14:paraId="7606C6F5" w14:textId="3E0E8BFC" w:rsidR="002E1FCF" w:rsidRDefault="002E1FCF" w:rsidP="002E1FCF">
            <w:pPr>
              <w:spacing w:before="120" w:after="120" w:line="240" w:lineRule="auto"/>
              <w:ind w:left="61"/>
              <w:rPr>
                <w:rFonts w:cs="Arial"/>
                <w:sz w:val="22"/>
                <w:szCs w:val="22"/>
              </w:rPr>
            </w:pPr>
            <w:r>
              <w:rPr>
                <w:rFonts w:cs="Arial"/>
                <w:sz w:val="22"/>
                <w:szCs w:val="22"/>
              </w:rPr>
              <w:t xml:space="preserve">KPI </w:t>
            </w:r>
            <w:r w:rsidR="004D07CD">
              <w:rPr>
                <w:rFonts w:cs="Arial"/>
                <w:sz w:val="22"/>
                <w:szCs w:val="22"/>
              </w:rPr>
              <w:t>5</w:t>
            </w:r>
          </w:p>
        </w:tc>
        <w:tc>
          <w:tcPr>
            <w:tcW w:w="629" w:type="pct"/>
          </w:tcPr>
          <w:p w14:paraId="7D0B9B9D" w14:textId="3D5AE84F" w:rsidR="002E1FCF" w:rsidRPr="000317D8" w:rsidRDefault="002E1FCF" w:rsidP="002E1FCF">
            <w:pPr>
              <w:spacing w:before="120" w:after="120" w:line="240" w:lineRule="auto"/>
              <w:ind w:left="95"/>
              <w:rPr>
                <w:rFonts w:cs="Arial"/>
                <w:sz w:val="22"/>
                <w:szCs w:val="22"/>
              </w:rPr>
            </w:pPr>
            <w:r w:rsidRPr="00BE6E59">
              <w:rPr>
                <w:rFonts w:cs="Arial"/>
              </w:rPr>
              <w:t>Post Filing</w:t>
            </w:r>
          </w:p>
        </w:tc>
        <w:tc>
          <w:tcPr>
            <w:tcW w:w="1169" w:type="pct"/>
          </w:tcPr>
          <w:p w14:paraId="415DC48E" w14:textId="083201D5" w:rsidR="002E1FCF" w:rsidRPr="000317D8" w:rsidRDefault="002E1FCF" w:rsidP="002E1FCF">
            <w:pPr>
              <w:spacing w:before="120" w:after="120" w:line="240" w:lineRule="auto"/>
              <w:rPr>
                <w:rFonts w:cs="Arial"/>
                <w:sz w:val="22"/>
                <w:szCs w:val="22"/>
              </w:rPr>
            </w:pPr>
            <w:r w:rsidRPr="00BE6E59">
              <w:rPr>
                <w:rFonts w:cs="Arial"/>
              </w:rPr>
              <w:t xml:space="preserve">Record filed appropriately within 48 hours. The </w:t>
            </w:r>
            <w:r w:rsidR="00A621FD">
              <w:rPr>
                <w:rFonts w:cs="Arial"/>
              </w:rPr>
              <w:t>Supplier</w:t>
            </w:r>
            <w:r w:rsidRPr="00BE6E59">
              <w:rPr>
                <w:rFonts w:cs="Arial"/>
              </w:rPr>
              <w:t xml:space="preserve"> must include relevant details in a monthly performance report to be agreed with the</w:t>
            </w:r>
            <w:r w:rsidR="00A621FD">
              <w:rPr>
                <w:rFonts w:cs="Arial"/>
              </w:rPr>
              <w:t xml:space="preserve"> Buyer</w:t>
            </w:r>
            <w:r w:rsidRPr="00BE6E59">
              <w:rPr>
                <w:rFonts w:cs="Arial"/>
              </w:rPr>
              <w:t xml:space="preserve">. The </w:t>
            </w:r>
            <w:r w:rsidR="00A621FD">
              <w:rPr>
                <w:rFonts w:cs="Arial"/>
              </w:rPr>
              <w:t>Supplier</w:t>
            </w:r>
            <w:r w:rsidRPr="00BE6E59">
              <w:rPr>
                <w:rFonts w:cs="Arial"/>
              </w:rPr>
              <w:t xml:space="preserve"> must notify the</w:t>
            </w:r>
            <w:r w:rsidR="00A621FD">
              <w:rPr>
                <w:rFonts w:cs="Arial"/>
              </w:rPr>
              <w:t xml:space="preserve"> Buyer</w:t>
            </w:r>
            <w:r w:rsidRPr="00BE6E59">
              <w:rPr>
                <w:rFonts w:cs="Arial"/>
              </w:rPr>
              <w:t xml:space="preserve"> if unable to trace any file.</w:t>
            </w:r>
          </w:p>
        </w:tc>
        <w:tc>
          <w:tcPr>
            <w:tcW w:w="508" w:type="pct"/>
          </w:tcPr>
          <w:p w14:paraId="454A526E" w14:textId="7D9F513F" w:rsidR="002E1FCF" w:rsidRPr="000317D8" w:rsidRDefault="00A54C9A" w:rsidP="00A54C9A">
            <w:pPr>
              <w:spacing w:before="120" w:after="120" w:line="240" w:lineRule="auto"/>
              <w:ind w:left="95"/>
              <w:jc w:val="center"/>
              <w:rPr>
                <w:rFonts w:cs="Arial"/>
                <w:sz w:val="22"/>
                <w:szCs w:val="22"/>
              </w:rPr>
            </w:pPr>
            <w:r>
              <w:rPr>
                <w:rFonts w:cs="Arial"/>
                <w:sz w:val="22"/>
                <w:szCs w:val="22"/>
              </w:rPr>
              <w:t>3</w:t>
            </w:r>
          </w:p>
        </w:tc>
        <w:tc>
          <w:tcPr>
            <w:tcW w:w="1523" w:type="pct"/>
          </w:tcPr>
          <w:p w14:paraId="4F490D71" w14:textId="364B70D1" w:rsidR="002E1FCF" w:rsidRDefault="002E1FCF" w:rsidP="002E1FCF">
            <w:pPr>
              <w:spacing w:before="120" w:after="120" w:line="240" w:lineRule="auto"/>
              <w:rPr>
                <w:rFonts w:cs="Arial"/>
                <w:sz w:val="22"/>
                <w:szCs w:val="22"/>
              </w:rPr>
            </w:pPr>
            <w:r w:rsidRPr="00BE6E59">
              <w:rPr>
                <w:rFonts w:cs="Arial"/>
              </w:rPr>
              <w:t xml:space="preserve">Quarterly Performance Report from </w:t>
            </w:r>
            <w:r w:rsidR="00A54C9A">
              <w:rPr>
                <w:rFonts w:cs="Arial"/>
              </w:rPr>
              <w:t>Supplier</w:t>
            </w:r>
            <w:r w:rsidRPr="00BE6E59">
              <w:rPr>
                <w:rFonts w:cs="Arial"/>
              </w:rPr>
              <w:t xml:space="preserve"> and </w:t>
            </w:r>
            <w:r w:rsidR="00A54C9A">
              <w:rPr>
                <w:rFonts w:cs="Arial"/>
              </w:rPr>
              <w:t>Buyer</w:t>
            </w:r>
            <w:r w:rsidRPr="00BE6E59">
              <w:rPr>
                <w:rFonts w:cs="Arial"/>
              </w:rPr>
              <w:t xml:space="preserve"> Business areas and reported to the </w:t>
            </w:r>
            <w:r w:rsidR="00A54C9A">
              <w:rPr>
                <w:rFonts w:cs="Arial"/>
              </w:rPr>
              <w:t>Buyer</w:t>
            </w:r>
            <w:r w:rsidRPr="00BE6E59">
              <w:rPr>
                <w:rFonts w:cs="Arial"/>
              </w:rPr>
              <w:t xml:space="preserve"> Information Manager.</w:t>
            </w:r>
          </w:p>
        </w:tc>
        <w:tc>
          <w:tcPr>
            <w:tcW w:w="582" w:type="pct"/>
          </w:tcPr>
          <w:p w14:paraId="40958CD4" w14:textId="5F6FBADF" w:rsidR="002E1FCF" w:rsidRPr="000317D8" w:rsidRDefault="002E1FCF" w:rsidP="002E1FCF">
            <w:pPr>
              <w:spacing w:before="120" w:after="120" w:line="240" w:lineRule="auto"/>
              <w:rPr>
                <w:rFonts w:cs="Arial"/>
                <w:sz w:val="22"/>
                <w:szCs w:val="22"/>
              </w:rPr>
            </w:pPr>
            <w:r w:rsidRPr="00BE6E59">
              <w:rPr>
                <w:rFonts w:cs="Arial"/>
              </w:rPr>
              <w:t>1, 2 or 3</w:t>
            </w:r>
          </w:p>
        </w:tc>
      </w:tr>
      <w:tr w:rsidR="002E1FCF" w:rsidRPr="000317D8" w14:paraId="5CDCABAD" w14:textId="77777777" w:rsidTr="002E1FCF">
        <w:trPr>
          <w:trHeight w:val="1474"/>
        </w:trPr>
        <w:tc>
          <w:tcPr>
            <w:tcW w:w="589" w:type="pct"/>
          </w:tcPr>
          <w:p w14:paraId="128AD376" w14:textId="11256B90" w:rsidR="002E1FCF" w:rsidRDefault="002E1FCF" w:rsidP="002E1FCF">
            <w:pPr>
              <w:spacing w:before="120" w:after="120" w:line="240" w:lineRule="auto"/>
              <w:ind w:left="61"/>
              <w:rPr>
                <w:rFonts w:cs="Arial"/>
                <w:sz w:val="22"/>
                <w:szCs w:val="22"/>
              </w:rPr>
            </w:pPr>
            <w:r>
              <w:rPr>
                <w:rFonts w:cs="Arial"/>
                <w:sz w:val="22"/>
                <w:szCs w:val="22"/>
              </w:rPr>
              <w:t xml:space="preserve">KPI </w:t>
            </w:r>
            <w:r w:rsidR="004D07CD">
              <w:rPr>
                <w:rFonts w:cs="Arial"/>
                <w:sz w:val="22"/>
                <w:szCs w:val="22"/>
              </w:rPr>
              <w:t>6</w:t>
            </w:r>
          </w:p>
        </w:tc>
        <w:tc>
          <w:tcPr>
            <w:tcW w:w="629" w:type="pct"/>
          </w:tcPr>
          <w:p w14:paraId="72DEFF99" w14:textId="163C505D" w:rsidR="002E1FCF" w:rsidRPr="000317D8" w:rsidRDefault="002E1FCF" w:rsidP="002E1FCF">
            <w:pPr>
              <w:spacing w:before="120" w:after="120" w:line="240" w:lineRule="auto"/>
              <w:ind w:left="95"/>
              <w:rPr>
                <w:rFonts w:cs="Arial"/>
                <w:sz w:val="22"/>
                <w:szCs w:val="22"/>
              </w:rPr>
            </w:pPr>
            <w:r w:rsidRPr="00BE6E59">
              <w:rPr>
                <w:rFonts w:cs="Arial"/>
              </w:rPr>
              <w:t>Reporting</w:t>
            </w:r>
          </w:p>
        </w:tc>
        <w:tc>
          <w:tcPr>
            <w:tcW w:w="1169" w:type="pct"/>
          </w:tcPr>
          <w:p w14:paraId="70009773" w14:textId="710091C8" w:rsidR="002E1FCF" w:rsidRPr="000317D8" w:rsidRDefault="002E1FCF" w:rsidP="002E1FCF">
            <w:pPr>
              <w:spacing w:before="120" w:after="120" w:line="240" w:lineRule="auto"/>
              <w:rPr>
                <w:rFonts w:cs="Arial"/>
                <w:sz w:val="22"/>
                <w:szCs w:val="22"/>
              </w:rPr>
            </w:pPr>
            <w:r w:rsidRPr="00BE6E59">
              <w:rPr>
                <w:rFonts w:cs="Arial"/>
              </w:rPr>
              <w:t xml:space="preserve">The </w:t>
            </w:r>
            <w:r w:rsidR="00A621FD">
              <w:rPr>
                <w:rFonts w:cs="Arial"/>
              </w:rPr>
              <w:t>Supplier</w:t>
            </w:r>
            <w:r w:rsidRPr="00BE6E59">
              <w:rPr>
                <w:rFonts w:cs="Arial"/>
              </w:rPr>
              <w:t xml:space="preserve"> must submit the Quarterly Information Management Reports to the </w:t>
            </w:r>
            <w:r w:rsidR="00A54C9A">
              <w:rPr>
                <w:rFonts w:cs="Arial"/>
              </w:rPr>
              <w:t xml:space="preserve">Buyer </w:t>
            </w:r>
            <w:r w:rsidRPr="00BE6E59">
              <w:rPr>
                <w:rFonts w:cs="Arial"/>
              </w:rPr>
              <w:t xml:space="preserve">Representative </w:t>
            </w:r>
            <w:r w:rsidR="00A54C9A">
              <w:rPr>
                <w:rFonts w:cs="Arial"/>
              </w:rPr>
              <w:t>5</w:t>
            </w:r>
            <w:r w:rsidRPr="00BE6E59">
              <w:rPr>
                <w:rFonts w:cs="Arial"/>
              </w:rPr>
              <w:t xml:space="preserve"> working days before the </w:t>
            </w:r>
            <w:r w:rsidR="00A621FD">
              <w:rPr>
                <w:rFonts w:cs="Arial"/>
              </w:rPr>
              <w:t>Buyer</w:t>
            </w:r>
            <w:r w:rsidRPr="00BE6E59">
              <w:rPr>
                <w:rFonts w:cs="Arial"/>
              </w:rPr>
              <w:t xml:space="preserve"> Quarterly Review Meetings.</w:t>
            </w:r>
          </w:p>
        </w:tc>
        <w:tc>
          <w:tcPr>
            <w:tcW w:w="508" w:type="pct"/>
          </w:tcPr>
          <w:p w14:paraId="2BC49F02" w14:textId="777F0310" w:rsidR="002E1FCF" w:rsidRDefault="00A54C9A" w:rsidP="00A54C9A">
            <w:pPr>
              <w:spacing w:before="120" w:after="120" w:line="240" w:lineRule="auto"/>
              <w:jc w:val="center"/>
              <w:rPr>
                <w:rFonts w:cs="Arial"/>
                <w:sz w:val="22"/>
                <w:szCs w:val="22"/>
              </w:rPr>
            </w:pPr>
            <w:r>
              <w:rPr>
                <w:rFonts w:cs="Arial"/>
                <w:sz w:val="22"/>
                <w:szCs w:val="22"/>
              </w:rPr>
              <w:t>3</w:t>
            </w:r>
          </w:p>
          <w:p w14:paraId="61BF152E" w14:textId="4C327209" w:rsidR="002E1FCF" w:rsidRPr="000317D8" w:rsidRDefault="002E1FCF" w:rsidP="002E1FCF">
            <w:pPr>
              <w:spacing w:before="120" w:after="120" w:line="240" w:lineRule="auto"/>
              <w:ind w:left="95"/>
              <w:rPr>
                <w:rFonts w:cs="Arial"/>
                <w:sz w:val="22"/>
                <w:szCs w:val="22"/>
              </w:rPr>
            </w:pPr>
          </w:p>
        </w:tc>
        <w:tc>
          <w:tcPr>
            <w:tcW w:w="1523" w:type="pct"/>
          </w:tcPr>
          <w:p w14:paraId="7A9C7008" w14:textId="31B682D8" w:rsidR="002E1FCF" w:rsidRDefault="002E1FCF" w:rsidP="002E1FCF">
            <w:pPr>
              <w:spacing w:before="120" w:after="120" w:line="240" w:lineRule="auto"/>
              <w:rPr>
                <w:rFonts w:cs="Arial"/>
                <w:sz w:val="22"/>
                <w:szCs w:val="22"/>
              </w:rPr>
            </w:pPr>
            <w:r w:rsidRPr="00BE6E59">
              <w:rPr>
                <w:rFonts w:cs="Arial"/>
              </w:rPr>
              <w:t xml:space="preserve">Late reports must be reported by the </w:t>
            </w:r>
            <w:r w:rsidR="00A621FD">
              <w:rPr>
                <w:rFonts w:cs="Arial"/>
              </w:rPr>
              <w:t>Buyer</w:t>
            </w:r>
            <w:r w:rsidRPr="00BE6E59">
              <w:rPr>
                <w:rFonts w:cs="Arial"/>
              </w:rPr>
              <w:t xml:space="preserve">’s Representative to the </w:t>
            </w:r>
            <w:r w:rsidR="00A54C9A">
              <w:rPr>
                <w:rFonts w:cs="Arial"/>
              </w:rPr>
              <w:t>Supplier</w:t>
            </w:r>
            <w:r w:rsidRPr="00BE6E59">
              <w:rPr>
                <w:rFonts w:cs="Arial"/>
              </w:rPr>
              <w:t xml:space="preserve"> immediately.</w:t>
            </w:r>
          </w:p>
        </w:tc>
        <w:tc>
          <w:tcPr>
            <w:tcW w:w="582" w:type="pct"/>
          </w:tcPr>
          <w:p w14:paraId="5E82D971" w14:textId="1C54E28C" w:rsidR="002E1FCF" w:rsidRPr="000317D8" w:rsidRDefault="002E1FCF" w:rsidP="002E1FCF">
            <w:pPr>
              <w:spacing w:before="120" w:after="120" w:line="240" w:lineRule="auto"/>
              <w:rPr>
                <w:rFonts w:cs="Arial"/>
                <w:sz w:val="22"/>
                <w:szCs w:val="22"/>
              </w:rPr>
            </w:pPr>
            <w:r w:rsidRPr="00BE6E59">
              <w:rPr>
                <w:rFonts w:cs="Arial"/>
              </w:rPr>
              <w:t>1, 2 or 3</w:t>
            </w:r>
          </w:p>
        </w:tc>
      </w:tr>
      <w:tr w:rsidR="002E1FCF" w:rsidRPr="000317D8" w14:paraId="7B2AB1F0" w14:textId="77777777" w:rsidTr="002E1FCF">
        <w:trPr>
          <w:trHeight w:val="1474"/>
        </w:trPr>
        <w:tc>
          <w:tcPr>
            <w:tcW w:w="589" w:type="pct"/>
          </w:tcPr>
          <w:p w14:paraId="557EBAD5" w14:textId="01F1197A" w:rsidR="002E1FCF" w:rsidRDefault="002E1FCF" w:rsidP="002E1FCF">
            <w:pPr>
              <w:spacing w:before="120" w:after="120" w:line="240" w:lineRule="auto"/>
              <w:ind w:left="61"/>
              <w:rPr>
                <w:rFonts w:cs="Arial"/>
                <w:sz w:val="22"/>
                <w:szCs w:val="22"/>
              </w:rPr>
            </w:pPr>
            <w:r>
              <w:rPr>
                <w:rFonts w:cs="Arial"/>
                <w:sz w:val="22"/>
                <w:szCs w:val="22"/>
              </w:rPr>
              <w:t xml:space="preserve">KPI </w:t>
            </w:r>
            <w:r w:rsidR="004D07CD">
              <w:rPr>
                <w:rFonts w:cs="Arial"/>
                <w:sz w:val="22"/>
                <w:szCs w:val="22"/>
              </w:rPr>
              <w:t>7</w:t>
            </w:r>
          </w:p>
        </w:tc>
        <w:tc>
          <w:tcPr>
            <w:tcW w:w="629" w:type="pct"/>
          </w:tcPr>
          <w:p w14:paraId="79D269B9" w14:textId="6E3920C3" w:rsidR="002E1FCF" w:rsidRPr="000317D8" w:rsidRDefault="002E1FCF" w:rsidP="002E1FCF">
            <w:pPr>
              <w:spacing w:before="120" w:after="120" w:line="240" w:lineRule="auto"/>
              <w:ind w:left="95"/>
              <w:rPr>
                <w:rFonts w:cs="Arial"/>
                <w:sz w:val="22"/>
                <w:szCs w:val="22"/>
              </w:rPr>
            </w:pPr>
            <w:r w:rsidRPr="00BE6E59">
              <w:rPr>
                <w:rFonts w:cs="Arial"/>
              </w:rPr>
              <w:t>Information Security</w:t>
            </w:r>
          </w:p>
        </w:tc>
        <w:tc>
          <w:tcPr>
            <w:tcW w:w="1169" w:type="pct"/>
          </w:tcPr>
          <w:p w14:paraId="182ED113" w14:textId="6880B5C9" w:rsidR="002E1FCF" w:rsidRPr="000317D8" w:rsidRDefault="002E1FCF" w:rsidP="002E1FCF">
            <w:pPr>
              <w:spacing w:before="120" w:after="120" w:line="240" w:lineRule="auto"/>
              <w:rPr>
                <w:rFonts w:cs="Arial"/>
                <w:sz w:val="22"/>
                <w:szCs w:val="22"/>
              </w:rPr>
            </w:pPr>
            <w:r w:rsidRPr="00BE6E59">
              <w:rPr>
                <w:rFonts w:cs="Arial"/>
              </w:rPr>
              <w:t xml:space="preserve">Potential data loss and security breach incidents must be reported to the </w:t>
            </w:r>
            <w:r w:rsidR="00A621FD">
              <w:rPr>
                <w:rFonts w:cs="Arial"/>
              </w:rPr>
              <w:t>Buyer</w:t>
            </w:r>
            <w:r w:rsidRPr="00BE6E59">
              <w:rPr>
                <w:rFonts w:cs="Arial"/>
              </w:rPr>
              <w:t xml:space="preserve">’s Information Security </w:t>
            </w:r>
            <w:r w:rsidRPr="00BE6E59">
              <w:rPr>
                <w:rFonts w:cs="Arial"/>
              </w:rPr>
              <w:lastRenderedPageBreak/>
              <w:t>Team within 1 hour of occurrence and followed up with a written report within 24 hours.</w:t>
            </w:r>
          </w:p>
        </w:tc>
        <w:tc>
          <w:tcPr>
            <w:tcW w:w="508" w:type="pct"/>
          </w:tcPr>
          <w:p w14:paraId="57178AE9" w14:textId="5655465A" w:rsidR="002E1FCF" w:rsidRPr="002E1FCF" w:rsidRDefault="00A621FD" w:rsidP="00A54C9A">
            <w:pPr>
              <w:spacing w:before="120" w:after="120" w:line="240" w:lineRule="auto"/>
              <w:jc w:val="center"/>
              <w:rPr>
                <w:rFonts w:cs="Arial"/>
                <w:sz w:val="22"/>
                <w:szCs w:val="22"/>
                <w:highlight w:val="yellow"/>
              </w:rPr>
            </w:pPr>
            <w:r w:rsidRPr="00A621FD">
              <w:rPr>
                <w:rFonts w:cs="Arial"/>
                <w:sz w:val="22"/>
                <w:szCs w:val="22"/>
              </w:rPr>
              <w:lastRenderedPageBreak/>
              <w:t>Pass</w:t>
            </w:r>
          </w:p>
        </w:tc>
        <w:tc>
          <w:tcPr>
            <w:tcW w:w="1523" w:type="pct"/>
          </w:tcPr>
          <w:p w14:paraId="3D38F1A6" w14:textId="0E030BA0" w:rsidR="002E1FCF" w:rsidRDefault="002E1FCF" w:rsidP="002E1FCF">
            <w:pPr>
              <w:spacing w:before="120" w:after="120" w:line="240" w:lineRule="auto"/>
              <w:rPr>
                <w:rFonts w:cs="Arial"/>
                <w:sz w:val="22"/>
                <w:szCs w:val="22"/>
              </w:rPr>
            </w:pPr>
            <w:r w:rsidRPr="00BE6E59">
              <w:rPr>
                <w:rFonts w:cs="Arial"/>
              </w:rPr>
              <w:t xml:space="preserve">Report received by </w:t>
            </w:r>
            <w:r w:rsidR="00A54C9A">
              <w:rPr>
                <w:rFonts w:cs="Arial"/>
              </w:rPr>
              <w:t>Buyer</w:t>
            </w:r>
            <w:r w:rsidRPr="00BE6E59">
              <w:rPr>
                <w:rFonts w:cs="Arial"/>
              </w:rPr>
              <w:t>’s Information Security Team within 1 hour.</w:t>
            </w:r>
          </w:p>
        </w:tc>
        <w:tc>
          <w:tcPr>
            <w:tcW w:w="582" w:type="pct"/>
          </w:tcPr>
          <w:p w14:paraId="4C9B4173" w14:textId="26AA14C4" w:rsidR="002E1FCF" w:rsidRPr="000317D8" w:rsidRDefault="00A621FD" w:rsidP="002E1FCF">
            <w:pPr>
              <w:spacing w:before="120" w:after="120" w:line="240" w:lineRule="auto"/>
              <w:rPr>
                <w:rFonts w:cs="Arial"/>
                <w:sz w:val="22"/>
                <w:szCs w:val="22"/>
              </w:rPr>
            </w:pPr>
            <w:r w:rsidRPr="00BE6E59">
              <w:rPr>
                <w:rFonts w:cs="Arial"/>
              </w:rPr>
              <w:t>Pass/ Fail</w:t>
            </w:r>
          </w:p>
        </w:tc>
      </w:tr>
      <w:tr w:rsidR="002E1FCF" w:rsidRPr="002E1FCF" w14:paraId="5BC2A360" w14:textId="77777777" w:rsidTr="002E1FCF">
        <w:trPr>
          <w:trHeight w:val="1474"/>
        </w:trPr>
        <w:tc>
          <w:tcPr>
            <w:tcW w:w="589" w:type="pct"/>
          </w:tcPr>
          <w:p w14:paraId="5F076B0B" w14:textId="4E7B2A0C" w:rsidR="002E1FCF" w:rsidRPr="004B0D1B" w:rsidRDefault="002E1FCF" w:rsidP="002E1FCF">
            <w:pPr>
              <w:spacing w:before="120" w:after="120" w:line="240" w:lineRule="auto"/>
              <w:ind w:left="61"/>
              <w:rPr>
                <w:rFonts w:cs="Arial"/>
                <w:sz w:val="22"/>
                <w:szCs w:val="22"/>
              </w:rPr>
            </w:pPr>
            <w:r>
              <w:rPr>
                <w:rFonts w:cs="Arial"/>
                <w:sz w:val="22"/>
                <w:szCs w:val="22"/>
              </w:rPr>
              <w:t xml:space="preserve">KPI </w:t>
            </w:r>
            <w:r w:rsidR="004D07CD">
              <w:rPr>
                <w:rFonts w:cs="Arial"/>
                <w:sz w:val="22"/>
                <w:szCs w:val="22"/>
              </w:rPr>
              <w:t>8</w:t>
            </w:r>
            <w:r>
              <w:rPr>
                <w:rFonts w:cs="Arial"/>
                <w:sz w:val="22"/>
                <w:szCs w:val="22"/>
              </w:rPr>
              <w:t xml:space="preserve"> </w:t>
            </w:r>
          </w:p>
        </w:tc>
        <w:tc>
          <w:tcPr>
            <w:tcW w:w="629" w:type="pct"/>
          </w:tcPr>
          <w:p w14:paraId="3AA260DC" w14:textId="566CC08A" w:rsidR="002E1FCF" w:rsidRPr="004B0D1B" w:rsidRDefault="002E1FCF" w:rsidP="002E1FCF">
            <w:pPr>
              <w:spacing w:before="120" w:after="120" w:line="240" w:lineRule="auto"/>
              <w:ind w:left="61"/>
              <w:rPr>
                <w:rFonts w:cs="Arial"/>
                <w:sz w:val="22"/>
                <w:szCs w:val="22"/>
              </w:rPr>
            </w:pPr>
            <w:r w:rsidRPr="002E1FCF">
              <w:rPr>
                <w:rFonts w:cs="Arial"/>
              </w:rPr>
              <w:t>Social Value Reporting</w:t>
            </w:r>
          </w:p>
        </w:tc>
        <w:tc>
          <w:tcPr>
            <w:tcW w:w="1169" w:type="pct"/>
          </w:tcPr>
          <w:p w14:paraId="026AA5ED" w14:textId="3344DE86" w:rsidR="002E1FCF" w:rsidRPr="004B0D1B" w:rsidRDefault="002E1FCF" w:rsidP="002E1FCF">
            <w:pPr>
              <w:spacing w:before="120" w:after="120" w:line="240" w:lineRule="auto"/>
              <w:ind w:left="61"/>
              <w:rPr>
                <w:rFonts w:cs="Arial"/>
                <w:sz w:val="22"/>
                <w:szCs w:val="22"/>
              </w:rPr>
            </w:pPr>
            <w:r w:rsidRPr="002E1FCF">
              <w:rPr>
                <w:rFonts w:cs="Arial"/>
              </w:rPr>
              <w:t xml:space="preserve">The supplier will record progress towards the social target on the Social Value Monitoring System on a six-monthly basis. </w:t>
            </w:r>
            <w:r w:rsidR="00B64881">
              <w:rPr>
                <w:rFonts w:cs="Arial"/>
              </w:rPr>
              <w:t xml:space="preserve">This covers both Theme 3 and 4. </w:t>
            </w:r>
            <w:r w:rsidRPr="002E1FCF">
              <w:rPr>
                <w:rFonts w:cs="Arial"/>
              </w:rPr>
              <w:t>The Buyer will discuss this progress with the supplier at contract review meetings. The Buyer will then determine the rating for progress being made.</w:t>
            </w:r>
          </w:p>
        </w:tc>
        <w:tc>
          <w:tcPr>
            <w:tcW w:w="508" w:type="pct"/>
          </w:tcPr>
          <w:p w14:paraId="506C2BF2" w14:textId="55FE3F6C" w:rsidR="002E1FCF" w:rsidRPr="002E1FCF" w:rsidRDefault="00A621FD" w:rsidP="00A621FD">
            <w:pPr>
              <w:spacing w:before="120" w:after="120" w:line="240" w:lineRule="auto"/>
              <w:ind w:left="61"/>
              <w:jc w:val="center"/>
              <w:rPr>
                <w:rFonts w:cs="Arial"/>
                <w:sz w:val="22"/>
                <w:szCs w:val="22"/>
                <w:highlight w:val="yellow"/>
              </w:rPr>
            </w:pPr>
            <w:r w:rsidRPr="00A621FD">
              <w:rPr>
                <w:rFonts w:cs="Arial"/>
                <w:sz w:val="22"/>
                <w:szCs w:val="22"/>
              </w:rPr>
              <w:t>3</w:t>
            </w:r>
          </w:p>
        </w:tc>
        <w:tc>
          <w:tcPr>
            <w:tcW w:w="1523" w:type="pct"/>
          </w:tcPr>
          <w:p w14:paraId="22D85DE0" w14:textId="2A919F2E" w:rsidR="002E1FCF" w:rsidRPr="004B0D1B" w:rsidRDefault="002E1FCF" w:rsidP="002E1FCF">
            <w:pPr>
              <w:spacing w:before="120" w:after="120" w:line="240" w:lineRule="auto"/>
              <w:ind w:left="61"/>
              <w:rPr>
                <w:rFonts w:cs="Arial"/>
                <w:sz w:val="22"/>
                <w:szCs w:val="22"/>
              </w:rPr>
            </w:pPr>
            <w:r w:rsidRPr="002E1FCF">
              <w:rPr>
                <w:rFonts w:cs="Arial"/>
                <w:sz w:val="22"/>
                <w:szCs w:val="22"/>
              </w:rPr>
              <w:t>Annually</w:t>
            </w:r>
          </w:p>
        </w:tc>
        <w:tc>
          <w:tcPr>
            <w:tcW w:w="582" w:type="pct"/>
          </w:tcPr>
          <w:p w14:paraId="60DEBB41" w14:textId="69B4E8FC" w:rsidR="002E1FCF" w:rsidRPr="004B0D1B" w:rsidRDefault="002E1FCF" w:rsidP="002E1FCF">
            <w:pPr>
              <w:spacing w:before="120" w:after="120" w:line="240" w:lineRule="auto"/>
              <w:ind w:left="61"/>
              <w:rPr>
                <w:rFonts w:cs="Arial"/>
                <w:sz w:val="22"/>
                <w:szCs w:val="22"/>
              </w:rPr>
            </w:pPr>
            <w:r w:rsidRPr="002E1FCF">
              <w:rPr>
                <w:rFonts w:cs="Arial"/>
                <w:sz w:val="22"/>
                <w:szCs w:val="22"/>
              </w:rPr>
              <w:t xml:space="preserve">1, </w:t>
            </w:r>
            <w:proofErr w:type="gramStart"/>
            <w:r w:rsidRPr="002E1FCF">
              <w:rPr>
                <w:rFonts w:cs="Arial"/>
                <w:sz w:val="22"/>
                <w:szCs w:val="22"/>
              </w:rPr>
              <w:t>2 ,</w:t>
            </w:r>
            <w:proofErr w:type="gramEnd"/>
            <w:r w:rsidRPr="002E1FCF">
              <w:rPr>
                <w:rFonts w:cs="Arial"/>
                <w:sz w:val="22"/>
                <w:szCs w:val="22"/>
              </w:rPr>
              <w:t xml:space="preserve"> 3 or 4</w:t>
            </w:r>
          </w:p>
        </w:tc>
      </w:tr>
    </w:tbl>
    <w:p w14:paraId="109D4FEB" w14:textId="77777777" w:rsidR="00A96E71" w:rsidRDefault="00A96E71" w:rsidP="00A96E71">
      <w:pPr>
        <w:rPr>
          <w:rFonts w:cs="Arial"/>
          <w:b/>
          <w:bCs/>
          <w:lang w:eastAsia="en-GB"/>
        </w:rPr>
      </w:pPr>
    </w:p>
    <w:p w14:paraId="391BB483" w14:textId="77777777" w:rsidR="00A96E71" w:rsidRDefault="00A96E71" w:rsidP="00A96E71">
      <w:pPr>
        <w:rPr>
          <w:rFonts w:cs="Arial"/>
          <w:b/>
          <w:bCs/>
          <w:lang w:eastAsia="en-GB"/>
        </w:rPr>
      </w:pPr>
    </w:p>
    <w:p w14:paraId="5E0159F1" w14:textId="77777777" w:rsidR="00A96E71" w:rsidRDefault="00A96E71" w:rsidP="00A96E71">
      <w:pPr>
        <w:rPr>
          <w:rFonts w:cs="Arial"/>
          <w:b/>
          <w:bCs/>
          <w:lang w:eastAsia="en-GB"/>
        </w:rPr>
      </w:pPr>
    </w:p>
    <w:p w14:paraId="4B7E2E53" w14:textId="77777777" w:rsidR="00EF4697" w:rsidRDefault="00EF4697" w:rsidP="00A96E71">
      <w:pPr>
        <w:rPr>
          <w:rFonts w:cs="Arial"/>
          <w:b/>
          <w:bCs/>
          <w:lang w:eastAsia="en-GB"/>
        </w:rPr>
      </w:pPr>
    </w:p>
    <w:p w14:paraId="79275925" w14:textId="31DFD092" w:rsidR="00A96E71" w:rsidRDefault="00A96E71" w:rsidP="00A96E71">
      <w:pPr>
        <w:rPr>
          <w:rFonts w:cs="Arial"/>
          <w:b/>
          <w:bCs/>
          <w:lang w:eastAsia="en-GB"/>
        </w:rPr>
      </w:pPr>
      <w:r>
        <w:rPr>
          <w:rFonts w:cs="Arial"/>
          <w:b/>
          <w:bCs/>
          <w:lang w:eastAsia="en-GB"/>
        </w:rPr>
        <w:lastRenderedPageBreak/>
        <w:t>Social Value KPI Measure</w:t>
      </w:r>
      <w:r w:rsidR="00A621FD">
        <w:rPr>
          <w:rFonts w:cs="Arial"/>
          <w:b/>
          <w:bCs/>
          <w:lang w:eastAsia="en-GB"/>
        </w:rPr>
        <w:t>ment</w:t>
      </w:r>
    </w:p>
    <w:tbl>
      <w:tblPr>
        <w:tblW w:w="14024" w:type="dxa"/>
        <w:tblCellMar>
          <w:top w:w="15" w:type="dxa"/>
        </w:tblCellMar>
        <w:tblLook w:val="04A0" w:firstRow="1" w:lastRow="0" w:firstColumn="1" w:lastColumn="0" w:noHBand="0" w:noVBand="1"/>
      </w:tblPr>
      <w:tblGrid>
        <w:gridCol w:w="637"/>
        <w:gridCol w:w="1939"/>
        <w:gridCol w:w="11448"/>
      </w:tblGrid>
      <w:tr w:rsidR="00A96E71" w:rsidRPr="00B44DDF" w14:paraId="6EABFAD4" w14:textId="77777777" w:rsidTr="00A96E71">
        <w:trPr>
          <w:trHeight w:val="554"/>
        </w:trPr>
        <w:tc>
          <w:tcPr>
            <w:tcW w:w="2576" w:type="dxa"/>
            <w:gridSpan w:val="2"/>
            <w:tcBorders>
              <w:top w:val="single" w:sz="8" w:space="0" w:color="auto"/>
              <w:left w:val="single" w:sz="8" w:space="0" w:color="auto"/>
              <w:bottom w:val="single" w:sz="8" w:space="0" w:color="auto"/>
              <w:right w:val="single" w:sz="8" w:space="0" w:color="000000"/>
            </w:tcBorders>
            <w:vAlign w:val="center"/>
            <w:hideMark/>
          </w:tcPr>
          <w:p w14:paraId="7593E536" w14:textId="77777777" w:rsidR="00A96E71" w:rsidRPr="00B44DDF" w:rsidRDefault="00A96E71" w:rsidP="006654BC">
            <w:pPr>
              <w:spacing w:after="0"/>
              <w:jc w:val="center"/>
              <w:rPr>
                <w:rFonts w:cs="Arial"/>
                <w:b/>
                <w:bCs/>
                <w:sz w:val="22"/>
                <w:szCs w:val="22"/>
                <w:lang w:eastAsia="en-GB"/>
              </w:rPr>
            </w:pPr>
            <w:r w:rsidRPr="00B44DDF">
              <w:rPr>
                <w:rFonts w:cs="Arial"/>
                <w:b/>
                <w:bCs/>
                <w:sz w:val="22"/>
                <w:szCs w:val="22"/>
                <w:lang w:eastAsia="en-GB"/>
              </w:rPr>
              <w:t>Rating</w:t>
            </w:r>
          </w:p>
        </w:tc>
        <w:tc>
          <w:tcPr>
            <w:tcW w:w="11448" w:type="dxa"/>
            <w:tcBorders>
              <w:top w:val="single" w:sz="8" w:space="0" w:color="auto"/>
              <w:left w:val="nil"/>
              <w:bottom w:val="single" w:sz="8" w:space="0" w:color="auto"/>
              <w:right w:val="single" w:sz="8" w:space="0" w:color="000000"/>
            </w:tcBorders>
            <w:vAlign w:val="center"/>
            <w:hideMark/>
          </w:tcPr>
          <w:p w14:paraId="45CD43B9" w14:textId="77777777" w:rsidR="00A96E71" w:rsidRPr="00B44DDF" w:rsidRDefault="00A96E71" w:rsidP="006654BC">
            <w:pPr>
              <w:spacing w:after="0"/>
              <w:jc w:val="center"/>
              <w:rPr>
                <w:rFonts w:cs="Arial"/>
                <w:b/>
                <w:bCs/>
                <w:sz w:val="22"/>
                <w:szCs w:val="22"/>
                <w:lang w:eastAsia="en-GB"/>
              </w:rPr>
            </w:pPr>
            <w:r w:rsidRPr="00B44DDF">
              <w:rPr>
                <w:rFonts w:cs="Arial"/>
                <w:b/>
                <w:bCs/>
                <w:sz w:val="22"/>
                <w:szCs w:val="22"/>
                <w:lang w:eastAsia="en-GB"/>
              </w:rPr>
              <w:t>Associated standard/target</w:t>
            </w:r>
          </w:p>
        </w:tc>
      </w:tr>
      <w:tr w:rsidR="00A96E71" w:rsidRPr="00B44DDF" w14:paraId="36A27D15" w14:textId="77777777" w:rsidTr="00A96E71">
        <w:trPr>
          <w:trHeight w:val="1001"/>
        </w:trPr>
        <w:tc>
          <w:tcPr>
            <w:tcW w:w="637" w:type="dxa"/>
            <w:tcBorders>
              <w:top w:val="single" w:sz="8" w:space="0" w:color="auto"/>
              <w:left w:val="single" w:sz="4" w:space="0" w:color="auto"/>
              <w:bottom w:val="single" w:sz="4" w:space="0" w:color="auto"/>
              <w:right w:val="single" w:sz="4" w:space="0" w:color="000000"/>
            </w:tcBorders>
            <w:vAlign w:val="center"/>
            <w:hideMark/>
          </w:tcPr>
          <w:p w14:paraId="56C28310"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4</w:t>
            </w:r>
          </w:p>
        </w:tc>
        <w:tc>
          <w:tcPr>
            <w:tcW w:w="1939" w:type="dxa"/>
            <w:tcBorders>
              <w:top w:val="nil"/>
              <w:left w:val="nil"/>
              <w:bottom w:val="single" w:sz="4" w:space="0" w:color="auto"/>
              <w:right w:val="single" w:sz="4" w:space="0" w:color="auto"/>
            </w:tcBorders>
            <w:vAlign w:val="center"/>
            <w:hideMark/>
          </w:tcPr>
          <w:p w14:paraId="7F2AD3F3"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Substantial</w:t>
            </w:r>
          </w:p>
        </w:tc>
        <w:tc>
          <w:tcPr>
            <w:tcW w:w="11448" w:type="dxa"/>
            <w:tcBorders>
              <w:top w:val="single" w:sz="8" w:space="0" w:color="auto"/>
              <w:left w:val="nil"/>
              <w:bottom w:val="single" w:sz="4" w:space="0" w:color="auto"/>
              <w:right w:val="single" w:sz="8" w:space="0" w:color="000000"/>
            </w:tcBorders>
            <w:vAlign w:val="center"/>
            <w:hideMark/>
          </w:tcPr>
          <w:p w14:paraId="29121AFF"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 xml:space="preserve">There is a substantial level of progress towards the social value points target of the Contract &amp; there is detailed evidence provided of </w:t>
            </w:r>
            <w:proofErr w:type="gramStart"/>
            <w:r w:rsidRPr="00B44DDF">
              <w:rPr>
                <w:rFonts w:cs="Arial"/>
                <w:sz w:val="22"/>
                <w:szCs w:val="22"/>
                <w:lang w:eastAsia="en-GB"/>
              </w:rPr>
              <w:t>future plans</w:t>
            </w:r>
            <w:proofErr w:type="gramEnd"/>
            <w:r w:rsidRPr="00B44DDF">
              <w:rPr>
                <w:rFonts w:cs="Arial"/>
                <w:sz w:val="22"/>
                <w:szCs w:val="22"/>
                <w:lang w:eastAsia="en-GB"/>
              </w:rPr>
              <w:t xml:space="preserve"> to meet the target</w:t>
            </w:r>
          </w:p>
        </w:tc>
      </w:tr>
      <w:tr w:rsidR="00A96E71" w:rsidRPr="00B44DDF" w14:paraId="3C8357BB" w14:textId="77777777" w:rsidTr="00A96E71">
        <w:trPr>
          <w:trHeight w:val="927"/>
        </w:trPr>
        <w:tc>
          <w:tcPr>
            <w:tcW w:w="637" w:type="dxa"/>
            <w:tcBorders>
              <w:top w:val="single" w:sz="4" w:space="0" w:color="auto"/>
              <w:left w:val="single" w:sz="4" w:space="0" w:color="auto"/>
              <w:bottom w:val="single" w:sz="4" w:space="0" w:color="auto"/>
              <w:right w:val="single" w:sz="4" w:space="0" w:color="000000"/>
            </w:tcBorders>
            <w:vAlign w:val="center"/>
            <w:hideMark/>
          </w:tcPr>
          <w:p w14:paraId="12A55D4F"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3</w:t>
            </w:r>
          </w:p>
        </w:tc>
        <w:tc>
          <w:tcPr>
            <w:tcW w:w="1939" w:type="dxa"/>
            <w:tcBorders>
              <w:top w:val="nil"/>
              <w:left w:val="nil"/>
              <w:bottom w:val="single" w:sz="4" w:space="0" w:color="auto"/>
              <w:right w:val="single" w:sz="4" w:space="0" w:color="auto"/>
            </w:tcBorders>
            <w:vAlign w:val="center"/>
            <w:hideMark/>
          </w:tcPr>
          <w:p w14:paraId="6CF94888"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Satisfactory</w:t>
            </w:r>
          </w:p>
        </w:tc>
        <w:tc>
          <w:tcPr>
            <w:tcW w:w="11448" w:type="dxa"/>
            <w:tcBorders>
              <w:top w:val="single" w:sz="4" w:space="0" w:color="auto"/>
              <w:left w:val="nil"/>
              <w:bottom w:val="single" w:sz="4" w:space="0" w:color="auto"/>
              <w:right w:val="single" w:sz="8" w:space="0" w:color="000000"/>
            </w:tcBorders>
            <w:vAlign w:val="center"/>
            <w:hideMark/>
          </w:tcPr>
          <w:p w14:paraId="32608963"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 xml:space="preserve">Overall, there is a satisfactory level of progress towards the social value points target of the Contract &amp; there is some evidence of </w:t>
            </w:r>
            <w:proofErr w:type="gramStart"/>
            <w:r w:rsidRPr="00B44DDF">
              <w:rPr>
                <w:rFonts w:cs="Arial"/>
                <w:sz w:val="22"/>
                <w:szCs w:val="22"/>
                <w:lang w:eastAsia="en-GB"/>
              </w:rPr>
              <w:t>future plans</w:t>
            </w:r>
            <w:proofErr w:type="gramEnd"/>
            <w:r w:rsidRPr="00B44DDF">
              <w:rPr>
                <w:rFonts w:cs="Arial"/>
                <w:sz w:val="22"/>
                <w:szCs w:val="22"/>
                <w:lang w:eastAsia="en-GB"/>
              </w:rPr>
              <w:t xml:space="preserve"> to meet the target.  </w:t>
            </w:r>
          </w:p>
        </w:tc>
      </w:tr>
      <w:tr w:rsidR="00A96E71" w:rsidRPr="00B44DDF" w14:paraId="309F21B5" w14:textId="77777777" w:rsidTr="00A96E71">
        <w:trPr>
          <w:trHeight w:val="787"/>
        </w:trPr>
        <w:tc>
          <w:tcPr>
            <w:tcW w:w="637" w:type="dxa"/>
            <w:tcBorders>
              <w:top w:val="single" w:sz="4" w:space="0" w:color="auto"/>
              <w:left w:val="single" w:sz="4" w:space="0" w:color="auto"/>
              <w:bottom w:val="single" w:sz="4" w:space="0" w:color="auto"/>
              <w:right w:val="single" w:sz="4" w:space="0" w:color="000000"/>
            </w:tcBorders>
            <w:vAlign w:val="center"/>
            <w:hideMark/>
          </w:tcPr>
          <w:p w14:paraId="15C986B0"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2</w:t>
            </w:r>
          </w:p>
        </w:tc>
        <w:tc>
          <w:tcPr>
            <w:tcW w:w="1939" w:type="dxa"/>
            <w:tcBorders>
              <w:top w:val="nil"/>
              <w:left w:val="nil"/>
              <w:bottom w:val="nil"/>
              <w:right w:val="nil"/>
            </w:tcBorders>
            <w:vAlign w:val="center"/>
            <w:hideMark/>
          </w:tcPr>
          <w:p w14:paraId="6F40DB09"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Limited</w:t>
            </w:r>
          </w:p>
        </w:tc>
        <w:tc>
          <w:tcPr>
            <w:tcW w:w="11448" w:type="dxa"/>
            <w:tcBorders>
              <w:top w:val="single" w:sz="4" w:space="0" w:color="auto"/>
              <w:left w:val="single" w:sz="4" w:space="0" w:color="auto"/>
              <w:bottom w:val="single" w:sz="4" w:space="0" w:color="auto"/>
              <w:right w:val="single" w:sz="8" w:space="0" w:color="000000"/>
            </w:tcBorders>
            <w:vAlign w:val="center"/>
            <w:hideMark/>
          </w:tcPr>
          <w:p w14:paraId="261FE4F4"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 xml:space="preserve">There is an inadequate level of progress towards the social value points target of the Contract &amp; there is little evidence provided for </w:t>
            </w:r>
            <w:proofErr w:type="gramStart"/>
            <w:r w:rsidRPr="00B44DDF">
              <w:rPr>
                <w:rFonts w:cs="Arial"/>
                <w:sz w:val="22"/>
                <w:szCs w:val="22"/>
                <w:lang w:eastAsia="en-GB"/>
              </w:rPr>
              <w:t>future plans</w:t>
            </w:r>
            <w:proofErr w:type="gramEnd"/>
            <w:r w:rsidRPr="00B44DDF">
              <w:rPr>
                <w:rFonts w:cs="Arial"/>
                <w:sz w:val="22"/>
                <w:szCs w:val="22"/>
                <w:lang w:eastAsia="en-GB"/>
              </w:rPr>
              <w:t xml:space="preserve"> to meet the target. </w:t>
            </w:r>
          </w:p>
        </w:tc>
      </w:tr>
      <w:tr w:rsidR="00A96E71" w:rsidRPr="00B44DDF" w14:paraId="0816C06D" w14:textId="77777777" w:rsidTr="00A96E71">
        <w:trPr>
          <w:trHeight w:val="843"/>
        </w:trPr>
        <w:tc>
          <w:tcPr>
            <w:tcW w:w="637" w:type="dxa"/>
            <w:tcBorders>
              <w:top w:val="single" w:sz="4" w:space="0" w:color="auto"/>
              <w:left w:val="single" w:sz="4" w:space="0" w:color="auto"/>
              <w:bottom w:val="single" w:sz="4" w:space="0" w:color="auto"/>
              <w:right w:val="single" w:sz="4" w:space="0" w:color="000000"/>
            </w:tcBorders>
            <w:vAlign w:val="center"/>
            <w:hideMark/>
          </w:tcPr>
          <w:p w14:paraId="63DCF804"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1</w:t>
            </w:r>
          </w:p>
        </w:tc>
        <w:tc>
          <w:tcPr>
            <w:tcW w:w="1939" w:type="dxa"/>
            <w:tcBorders>
              <w:top w:val="single" w:sz="4" w:space="0" w:color="auto"/>
              <w:left w:val="single" w:sz="4" w:space="0" w:color="auto"/>
              <w:bottom w:val="single" w:sz="4" w:space="0" w:color="auto"/>
              <w:right w:val="single" w:sz="4" w:space="0" w:color="auto"/>
            </w:tcBorders>
            <w:vAlign w:val="center"/>
            <w:hideMark/>
          </w:tcPr>
          <w:p w14:paraId="2F23946F"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Unacceptable</w:t>
            </w:r>
          </w:p>
        </w:tc>
        <w:tc>
          <w:tcPr>
            <w:tcW w:w="11448" w:type="dxa"/>
            <w:tcBorders>
              <w:top w:val="single" w:sz="4" w:space="0" w:color="auto"/>
              <w:left w:val="single" w:sz="4" w:space="0" w:color="auto"/>
              <w:bottom w:val="single" w:sz="4" w:space="0" w:color="auto"/>
              <w:right w:val="single" w:sz="8" w:space="0" w:color="000000"/>
            </w:tcBorders>
            <w:vAlign w:val="center"/>
            <w:hideMark/>
          </w:tcPr>
          <w:p w14:paraId="03023E25" w14:textId="77777777" w:rsidR="00A96E71" w:rsidRPr="00B44DDF" w:rsidRDefault="00A96E71" w:rsidP="006654BC">
            <w:pPr>
              <w:spacing w:after="0"/>
              <w:jc w:val="center"/>
              <w:rPr>
                <w:rFonts w:cs="Arial"/>
                <w:sz w:val="22"/>
                <w:szCs w:val="22"/>
                <w:lang w:eastAsia="en-GB"/>
              </w:rPr>
            </w:pPr>
            <w:r w:rsidRPr="00B44DDF">
              <w:rPr>
                <w:rFonts w:cs="Arial"/>
                <w:sz w:val="22"/>
                <w:szCs w:val="22"/>
                <w:lang w:eastAsia="en-GB"/>
              </w:rPr>
              <w:t xml:space="preserve">There are serious deficiencies in the level of progress towards the social value requirements of the Contract and there is no evidence of </w:t>
            </w:r>
            <w:proofErr w:type="gramStart"/>
            <w:r w:rsidRPr="00B44DDF">
              <w:rPr>
                <w:rFonts w:cs="Arial"/>
                <w:sz w:val="22"/>
                <w:szCs w:val="22"/>
                <w:lang w:eastAsia="en-GB"/>
              </w:rPr>
              <w:t>future plans</w:t>
            </w:r>
            <w:proofErr w:type="gramEnd"/>
            <w:r w:rsidRPr="00B44DDF">
              <w:rPr>
                <w:rFonts w:cs="Arial"/>
                <w:sz w:val="22"/>
                <w:szCs w:val="22"/>
                <w:lang w:eastAsia="en-GB"/>
              </w:rPr>
              <w:t xml:space="preserve"> to meet the target. </w:t>
            </w:r>
          </w:p>
        </w:tc>
      </w:tr>
    </w:tbl>
    <w:p w14:paraId="486CAA83" w14:textId="77777777" w:rsidR="00D358CF" w:rsidRPr="0088685B" w:rsidRDefault="00D358CF" w:rsidP="00147AB8">
      <w:pPr>
        <w:keepNext/>
        <w:keepLines/>
        <w:spacing w:before="120" w:after="120" w:line="240" w:lineRule="auto"/>
        <w:rPr>
          <w:rFonts w:cs="Arial"/>
        </w:rPr>
        <w:sectPr w:rsidR="00D358CF" w:rsidRPr="0088685B" w:rsidSect="00871568">
          <w:pgSz w:w="16838" w:h="11906" w:orient="landscape"/>
          <w:pgMar w:top="1440" w:right="1440" w:bottom="1440" w:left="1440" w:header="709" w:footer="709" w:gutter="0"/>
          <w:pgNumType w:start="1"/>
          <w:cols w:space="720"/>
          <w:docGrid w:linePitch="326"/>
        </w:sectPr>
      </w:pPr>
    </w:p>
    <w:p w14:paraId="6467C011" w14:textId="05EFC1C0" w:rsidR="00CA079E" w:rsidRPr="0088685B" w:rsidRDefault="00CD7298" w:rsidP="57D1F290">
      <w:pPr>
        <w:keepNext/>
        <w:pBdr>
          <w:top w:val="nil"/>
          <w:left w:val="nil"/>
          <w:bottom w:val="nil"/>
          <w:right w:val="nil"/>
          <w:between w:val="nil"/>
        </w:pBdr>
        <w:rPr>
          <w:rFonts w:eastAsia="Arial Bold" w:cs="Arial"/>
          <w:b/>
          <w:color w:val="000000"/>
          <w:sz w:val="36"/>
          <w:szCs w:val="36"/>
        </w:rPr>
      </w:pPr>
      <w:r w:rsidRPr="0088685B">
        <w:rPr>
          <w:rFonts w:eastAsia="Arial Bold" w:cs="Arial"/>
          <w:b/>
          <w:color w:val="000000" w:themeColor="text1"/>
          <w:sz w:val="36"/>
          <w:szCs w:val="36"/>
        </w:rPr>
        <w:lastRenderedPageBreak/>
        <w:t xml:space="preserve">Part </w:t>
      </w:r>
      <w:bookmarkStart w:id="5" w:name="Part_B"/>
      <w:r w:rsidRPr="0088685B">
        <w:rPr>
          <w:rFonts w:eastAsia="Arial Bold" w:cs="Arial"/>
          <w:b/>
          <w:color w:val="000000" w:themeColor="text1"/>
          <w:sz w:val="36"/>
          <w:szCs w:val="36"/>
        </w:rPr>
        <w:t>B</w:t>
      </w:r>
      <w:bookmarkEnd w:id="5"/>
      <w:r w:rsidRPr="0088685B">
        <w:rPr>
          <w:rFonts w:eastAsia="Arial Bold" w:cs="Arial"/>
          <w:b/>
          <w:color w:val="000000" w:themeColor="text1"/>
          <w:sz w:val="36"/>
          <w:szCs w:val="36"/>
        </w:rPr>
        <w:t xml:space="preserve">: Performance Monitoring </w:t>
      </w:r>
    </w:p>
    <w:p w14:paraId="7B402D94" w14:textId="77777777" w:rsidR="00CA079E" w:rsidRPr="0088685B" w:rsidRDefault="00CD7298" w:rsidP="00135404">
      <w:pPr>
        <w:pStyle w:val="GPSL1CLAUSEHEADING"/>
        <w:numPr>
          <w:ilvl w:val="0"/>
          <w:numId w:val="13"/>
        </w:numPr>
        <w:rPr>
          <w:rFonts w:ascii="Arial" w:hAnsi="Arial"/>
        </w:rPr>
      </w:pPr>
      <w:r w:rsidRPr="0088685B">
        <w:rPr>
          <w:rFonts w:ascii="Arial" w:hAnsi="Arial"/>
        </w:rPr>
        <w:t>Performance Monitoring and Performance Review</w:t>
      </w:r>
    </w:p>
    <w:p w14:paraId="68218C10" w14:textId="4F369BF1" w:rsidR="00CA079E" w:rsidRDefault="00CD7298" w:rsidP="00135404">
      <w:pPr>
        <w:pStyle w:val="GPSL2numberedclause"/>
      </w:pPr>
      <w:bookmarkStart w:id="6" w:name="_Ref141096545"/>
      <w:r>
        <w:rPr>
          <w:rFonts w:eastAsia="Arial"/>
        </w:rPr>
        <w:t xml:space="preserve">Within twenty (20) Working Days of the Effective Date the Supplier shall provide the Buyer with details of how the process in respect of the monitoring and reporting of </w:t>
      </w:r>
      <w:r w:rsidR="006D60FB">
        <w:rPr>
          <w:rFonts w:eastAsia="Arial"/>
        </w:rPr>
        <w:t>Key Performance Indicator</w:t>
      </w:r>
      <w:r>
        <w:rPr>
          <w:rFonts w:eastAsia="Arial"/>
        </w:rPr>
        <w:t>s will operate between the Parties and the Parties will endeavour to agree such process as soon as reasonably possible.</w:t>
      </w:r>
      <w:bookmarkEnd w:id="6"/>
    </w:p>
    <w:p w14:paraId="6A07210B" w14:textId="0314FC05" w:rsidR="00CA079E" w:rsidRDefault="00CD7298" w:rsidP="00135404">
      <w:pPr>
        <w:pStyle w:val="GPSL2numberedclause"/>
      </w:pPr>
      <w:bookmarkStart w:id="7" w:name="_Ref188454577"/>
      <w:r>
        <w:rPr>
          <w:rFonts w:eastAsia="Arial"/>
        </w:rPr>
        <w:t>The Supplier shall provide the Buyer with performance monitoring reports ("</w:t>
      </w:r>
      <w:r>
        <w:rPr>
          <w:rFonts w:eastAsia="Arial"/>
          <w:b/>
        </w:rPr>
        <w:t>Performance Monitoring Reports</w:t>
      </w:r>
      <w:r>
        <w:rPr>
          <w:rFonts w:eastAsia="Arial"/>
        </w:rPr>
        <w:t xml:space="preserve">") in accordance with the process agreed pursuant to Paragraph </w:t>
      </w:r>
      <w:r w:rsidR="00147AB8" w:rsidRPr="0088685B">
        <w:rPr>
          <w:rFonts w:eastAsia="Arial"/>
        </w:rPr>
        <w:fldChar w:fldCharType="begin"/>
      </w:r>
      <w:r w:rsidR="00147AB8" w:rsidRPr="0088685B">
        <w:rPr>
          <w:rFonts w:eastAsia="Arial"/>
        </w:rPr>
        <w:instrText xml:space="preserve"> REF _Ref141096545 \n \h </w:instrText>
      </w:r>
      <w:r w:rsidR="0088685B">
        <w:rPr>
          <w:rFonts w:eastAsia="Arial"/>
        </w:rPr>
        <w:instrText xml:space="preserve"> \* MERGEFORMAT </w:instrText>
      </w:r>
      <w:r w:rsidR="00147AB8" w:rsidRPr="0088685B">
        <w:rPr>
          <w:rFonts w:eastAsia="Arial"/>
        </w:rPr>
      </w:r>
      <w:r w:rsidR="00147AB8" w:rsidRPr="0088685B">
        <w:rPr>
          <w:rFonts w:eastAsia="Arial"/>
        </w:rPr>
        <w:fldChar w:fldCharType="separate"/>
      </w:r>
      <w:r w:rsidR="00626983">
        <w:rPr>
          <w:rFonts w:eastAsia="Arial"/>
        </w:rPr>
        <w:t>1.1</w:t>
      </w:r>
      <w:r w:rsidR="00147AB8" w:rsidRPr="0088685B">
        <w:rPr>
          <w:rFonts w:eastAsia="Arial"/>
        </w:rPr>
        <w:fldChar w:fldCharType="end"/>
      </w:r>
      <w:r>
        <w:rPr>
          <w:rFonts w:eastAsia="Arial"/>
        </w:rPr>
        <w:t xml:space="preserve"> of </w:t>
      </w:r>
      <w:r w:rsidRPr="00147AB8">
        <w:rPr>
          <w:rFonts w:eastAsia="Arial"/>
        </w:rPr>
        <w:t>Part</w:t>
      </w:r>
      <w:r w:rsidR="00147AB8">
        <w:rPr>
          <w:rFonts w:eastAsia="Arial"/>
        </w:rPr>
        <w:t xml:space="preserve"> B</w:t>
      </w:r>
      <w:r w:rsidRPr="00147AB8">
        <w:rPr>
          <w:rFonts w:eastAsia="Arial"/>
        </w:rPr>
        <w:t xml:space="preserve"> of</w:t>
      </w:r>
      <w:r>
        <w:rPr>
          <w:rFonts w:eastAsia="Arial"/>
        </w:rPr>
        <w:t xml:space="preserve"> this Schedule </w:t>
      </w:r>
      <w:r w:rsidR="001A6841">
        <w:rPr>
          <w:rFonts w:eastAsia="Arial"/>
          <w:color w:val="000000"/>
        </w:rPr>
        <w:t>and with such frequency as shall be agreed between the Parties pursuant to Paragraph 1.1 to enable the Buyer to assess the Supplier’s performance against each Key Performance Indicator in each Measurement Period. The Performance Monitoring Reports shall contain, as a minimum, the following information in respect of the relevant Service Period just ended</w:t>
      </w:r>
      <w:r>
        <w:rPr>
          <w:rFonts w:eastAsia="Arial"/>
        </w:rPr>
        <w:t>:</w:t>
      </w:r>
      <w:bookmarkEnd w:id="7"/>
    </w:p>
    <w:p w14:paraId="2E8B9E08" w14:textId="229A68A0" w:rsidR="00CA079E" w:rsidRDefault="00CD7298" w:rsidP="00135404">
      <w:pPr>
        <w:pStyle w:val="GPSL3numberedclause"/>
      </w:pPr>
      <w:r>
        <w:rPr>
          <w:rFonts w:eastAsia="Arial"/>
        </w:rPr>
        <w:t xml:space="preserve">for </w:t>
      </w:r>
      <w:r w:rsidR="001A6841">
        <w:rPr>
          <w:rFonts w:eastAsia="Arial"/>
          <w:color w:val="000000"/>
        </w:rPr>
        <w:t xml:space="preserve">each Key Performance Indicator, the actual performance achieved against the KPI Performance Measure for the relevant Service Period </w:t>
      </w:r>
      <w:r w:rsidR="001A6841" w:rsidRPr="001F5828">
        <w:rPr>
          <w:rFonts w:eastAsia="Arial"/>
          <w:color w:val="000000"/>
        </w:rPr>
        <w:t>and, where a Measurement Period has ended in the period covered by the Performance Monitoring Report, the most recently ended Measurement Period</w:t>
      </w:r>
      <w:r>
        <w:rPr>
          <w:rFonts w:eastAsia="Arial"/>
        </w:rPr>
        <w:t>;</w:t>
      </w:r>
    </w:p>
    <w:p w14:paraId="3D3A5620" w14:textId="6899732D" w:rsidR="00CA079E" w:rsidRDefault="00CD7298" w:rsidP="00135404">
      <w:pPr>
        <w:pStyle w:val="GPSL3numberedclause"/>
      </w:pPr>
      <w:r>
        <w:rPr>
          <w:rFonts w:eastAsia="Arial"/>
        </w:rPr>
        <w:t xml:space="preserve">a summary of all failures to achieve </w:t>
      </w:r>
      <w:r w:rsidR="006D60FB">
        <w:rPr>
          <w:rFonts w:eastAsia="Arial"/>
        </w:rPr>
        <w:t>Key Performance Indicator</w:t>
      </w:r>
      <w:r>
        <w:rPr>
          <w:rFonts w:eastAsia="Arial"/>
        </w:rPr>
        <w:t>s that occurred during that Service Period;</w:t>
      </w:r>
    </w:p>
    <w:p w14:paraId="0206CC77" w14:textId="303A7935" w:rsidR="00CA079E" w:rsidRDefault="00CD7298" w:rsidP="00135404">
      <w:pPr>
        <w:pStyle w:val="GPSL3numberedclause"/>
      </w:pPr>
      <w:r>
        <w:rPr>
          <w:rFonts w:eastAsia="Arial"/>
        </w:rPr>
        <w:t xml:space="preserve">details of any Critical </w:t>
      </w:r>
      <w:r w:rsidR="00AD7853">
        <w:rPr>
          <w:rFonts w:eastAsia="Arial"/>
        </w:rPr>
        <w:t>KPI F</w:t>
      </w:r>
      <w:r w:rsidR="00E73E7F">
        <w:rPr>
          <w:rFonts w:eastAsia="Arial"/>
        </w:rPr>
        <w:t>ailure</w:t>
      </w:r>
      <w:r>
        <w:rPr>
          <w:rFonts w:eastAsia="Arial"/>
        </w:rPr>
        <w:t>s;</w:t>
      </w:r>
    </w:p>
    <w:p w14:paraId="59DEA59B" w14:textId="77777777" w:rsidR="00CA079E" w:rsidRDefault="00CD7298" w:rsidP="00135404">
      <w:pPr>
        <w:pStyle w:val="GPSL3numberedclause"/>
      </w:pPr>
      <w:r>
        <w:rPr>
          <w:rFonts w:eastAsia="Arial"/>
        </w:rPr>
        <w:t>for any repeat failures, actions taken to resolve the underlying cause and prevent recurrence;</w:t>
      </w:r>
    </w:p>
    <w:p w14:paraId="4D8403E0" w14:textId="4312C06E" w:rsidR="00CA079E" w:rsidRDefault="00CD7298" w:rsidP="00135404">
      <w:pPr>
        <w:pStyle w:val="GPSL3numberedclause"/>
      </w:pPr>
      <w:r>
        <w:rPr>
          <w:rFonts w:eastAsia="Arial"/>
        </w:rPr>
        <w:t xml:space="preserve">the Service Credits to be applied in respect of the relevant period indicating the failures and </w:t>
      </w:r>
      <w:r w:rsidR="006D60FB">
        <w:rPr>
          <w:rFonts w:eastAsia="Arial"/>
        </w:rPr>
        <w:t>Key Performance Indicator</w:t>
      </w:r>
      <w:r>
        <w:rPr>
          <w:rFonts w:eastAsia="Arial"/>
        </w:rPr>
        <w:t>s to which the Service Credits relate; and</w:t>
      </w:r>
    </w:p>
    <w:p w14:paraId="5C958DAD" w14:textId="77777777" w:rsidR="00CA079E" w:rsidRDefault="00CD7298" w:rsidP="00135404">
      <w:pPr>
        <w:pStyle w:val="GPSL3numberedclause"/>
      </w:pPr>
      <w:r>
        <w:rPr>
          <w:rFonts w:eastAsia="Arial"/>
        </w:rPr>
        <w:t>such other details as the Buyer may reasonably require from time to time.</w:t>
      </w:r>
    </w:p>
    <w:p w14:paraId="706915DD" w14:textId="77777777" w:rsidR="00CA079E" w:rsidRDefault="00CD7298" w:rsidP="00135404">
      <w:pPr>
        <w:pStyle w:val="GPSL2numberedclause"/>
      </w:pPr>
      <w:bookmarkStart w:id="8" w:name="_Ref188454584"/>
      <w:r>
        <w:rPr>
          <w:rFonts w:eastAsia="Arial"/>
        </w:rPr>
        <w:t>The Parties shall attend meetings to discuss Performance Monitoring Reports (</w:t>
      </w:r>
      <w:r w:rsidRPr="005127A9">
        <w:rPr>
          <w:rFonts w:eastAsia="Arial"/>
          <w:b/>
        </w:rPr>
        <w:t>"</w:t>
      </w:r>
      <w:r>
        <w:rPr>
          <w:rFonts w:eastAsia="Arial"/>
          <w:b/>
        </w:rPr>
        <w:t>Performance Review Meetings</w:t>
      </w:r>
      <w:r w:rsidRPr="005127A9">
        <w:rPr>
          <w:rFonts w:eastAsia="Arial"/>
          <w:b/>
        </w:rPr>
        <w:t>"</w:t>
      </w:r>
      <w:r>
        <w:rPr>
          <w:rFonts w:eastAsia="Arial"/>
        </w:rPr>
        <w:t>) on a Monthly basis. The Performance Review Meetings will be the forum for the review by the Supplier and the Buyer of the Performance Monitoring Reports.  The Performance Review Meetings shall:</w:t>
      </w:r>
      <w:bookmarkEnd w:id="8"/>
    </w:p>
    <w:p w14:paraId="0A78AE55" w14:textId="77777777" w:rsidR="00CA079E" w:rsidRDefault="00CD7298" w:rsidP="00135404">
      <w:pPr>
        <w:pStyle w:val="GPSL3numberedclause"/>
      </w:pPr>
      <w:r>
        <w:rPr>
          <w:rFonts w:eastAsia="Arial"/>
        </w:rPr>
        <w:t>take place within one (1) week of the Performance Monitoring Reports being issued by the Supplier at such location and time (within normal business hours) as the Buyer shall reasonably require;</w:t>
      </w:r>
    </w:p>
    <w:p w14:paraId="52C4ADD9" w14:textId="77777777" w:rsidR="00CA079E" w:rsidRDefault="00CD7298" w:rsidP="00135404">
      <w:pPr>
        <w:pStyle w:val="GPSL3numberedclause"/>
      </w:pPr>
      <w:r>
        <w:rPr>
          <w:rFonts w:eastAsia="Arial"/>
        </w:rPr>
        <w:t>be attended by the Supplier's Representative and the Buyer’s Representative; and</w:t>
      </w:r>
    </w:p>
    <w:p w14:paraId="5E4E35CC" w14:textId="77777777" w:rsidR="00CA079E" w:rsidRDefault="00CD7298" w:rsidP="00135404">
      <w:pPr>
        <w:pStyle w:val="GPSL3numberedclause"/>
      </w:pPr>
      <w:r>
        <w:rPr>
          <w:rFonts w:eastAsia="Arial"/>
        </w:rPr>
        <w:t xml:space="preserve">be fully minuted by the Supplier and the minutes will be circulated by the Supplier to all attendees at the relevant meeting and also to </w:t>
      </w:r>
      <w:r>
        <w:rPr>
          <w:rFonts w:eastAsia="Arial"/>
        </w:rPr>
        <w:lastRenderedPageBreak/>
        <w:t xml:space="preserve">the Buyer’s Representative and any other recipients agreed at the relevant meeting.  </w:t>
      </w:r>
    </w:p>
    <w:p w14:paraId="7972B663" w14:textId="77777777" w:rsidR="00CA079E" w:rsidRDefault="00CD7298" w:rsidP="00135404">
      <w:pPr>
        <w:pStyle w:val="GPSL2numberedclause"/>
      </w:pPr>
      <w:r>
        <w:rPr>
          <w:rFonts w:eastAsia="Arial"/>
        </w:rPr>
        <w:t>The minutes of the preceding Month's Performance Review Meeting will be agreed and signed by both the Supplier's Representative and the Buyer’s Representative at each meeting.</w:t>
      </w:r>
    </w:p>
    <w:p w14:paraId="40CBE7A8" w14:textId="3BDD9526" w:rsidR="00CA079E" w:rsidRPr="00AA4934" w:rsidRDefault="00CD7298" w:rsidP="00135404">
      <w:pPr>
        <w:pStyle w:val="GPSL2numberedclause"/>
      </w:pPr>
      <w:r>
        <w:rPr>
          <w:rFonts w:eastAsia="Arial"/>
        </w:rPr>
        <w:t>The Supplier shall provide to the Buyer such documentation as the Buyer may reasonably require in order to verify the level of the performance by the Supplier and the calculations of the amount of Service Credits for any specified Service Period.</w:t>
      </w:r>
    </w:p>
    <w:p w14:paraId="6B08725C" w14:textId="13FE0896" w:rsidR="0087195F" w:rsidRDefault="00AA4934" w:rsidP="00135404">
      <w:pPr>
        <w:pStyle w:val="GPSL2numberedclause"/>
      </w:pPr>
      <w:r>
        <w:t xml:space="preserve">The relevant table in </w:t>
      </w:r>
      <w:r w:rsidR="001A6841">
        <w:t xml:space="preserve">the </w:t>
      </w:r>
      <w:r>
        <w:t xml:space="preserve">Annex to Part A of this Schedule describes how the levels of performance under the KPI Performance Measures will be mapped to the performance ratings prescribed under </w:t>
      </w:r>
      <w:r w:rsidR="7C8440E9">
        <w:t>r</w:t>
      </w:r>
      <w:r>
        <w:t xml:space="preserve">egulation 38(5) of the Procurement Regulations 2024. The mapping set out in that table will be applied by the </w:t>
      </w:r>
      <w:r w:rsidR="003C0BBD">
        <w:t xml:space="preserve">Buyer </w:t>
      </w:r>
      <w:r>
        <w:t xml:space="preserve">when publishing relevant Transparency Information relating to the Performance Indicators and/or the Supplier's performance against the relevant KPIs pursuant to </w:t>
      </w:r>
      <w:r w:rsidR="0087195F">
        <w:t>S</w:t>
      </w:r>
      <w:r>
        <w:t xml:space="preserve">ection 52(3) and/or </w:t>
      </w:r>
      <w:r w:rsidR="0087195F">
        <w:t>S</w:t>
      </w:r>
      <w:r>
        <w:t>ection 71(2) of the Procurement Act 2023 and the associated Regulations</w:t>
      </w:r>
      <w:r w:rsidR="0087195F">
        <w:t>.</w:t>
      </w:r>
    </w:p>
    <w:p w14:paraId="3EAF98CA" w14:textId="6A6EF606" w:rsidR="00AA4934" w:rsidRDefault="001A6841" w:rsidP="00135404">
      <w:pPr>
        <w:pStyle w:val="GPSL2numberedclause"/>
      </w:pPr>
      <w:r w:rsidRPr="0087195F">
        <w:t>The Supplier acknowledges and agrees that, each time the Buyer conducts an assessment of the Supplier’s performance against a Key Performance Indicator, the Buyer may publish information as required by Law in relation to that assessment</w:t>
      </w:r>
      <w:r w:rsidR="00AA4934" w:rsidRPr="00AA4934">
        <w:t>.</w:t>
      </w:r>
    </w:p>
    <w:p w14:paraId="6982DCE3" w14:textId="77777777" w:rsidR="00CA079E" w:rsidRPr="0088685B" w:rsidRDefault="00CD7298" w:rsidP="00135404">
      <w:pPr>
        <w:pStyle w:val="GPSL1CLAUSEHEADING"/>
        <w:rPr>
          <w:rFonts w:ascii="Arial" w:hAnsi="Arial"/>
        </w:rPr>
      </w:pPr>
      <w:r w:rsidRPr="0088685B">
        <w:rPr>
          <w:rFonts w:ascii="Arial" w:hAnsi="Arial"/>
        </w:rPr>
        <w:t>Satisfaction Surveys</w:t>
      </w:r>
    </w:p>
    <w:p w14:paraId="5C60EDE5" w14:textId="77777777" w:rsidR="00CA079E" w:rsidRPr="0088685B" w:rsidRDefault="00CD7298" w:rsidP="00147AB8">
      <w:pPr>
        <w:pBdr>
          <w:top w:val="nil"/>
          <w:left w:val="nil"/>
          <w:bottom w:val="nil"/>
          <w:right w:val="nil"/>
          <w:between w:val="nil"/>
        </w:pBdr>
        <w:spacing w:before="120" w:after="120" w:line="240" w:lineRule="auto"/>
        <w:ind w:left="426"/>
        <w:rPr>
          <w:rFonts w:cs="Arial"/>
        </w:rPr>
      </w:pPr>
      <w:r>
        <w:rPr>
          <w:rFonts w:eastAsia="Arial" w:cs="Arial"/>
          <w:color w:val="000000"/>
        </w:rPr>
        <w:t>The Buyer may undertake satisfaction surveys in respect of the Supplier's provision of the Deliverables. The Buyer shall be entitled to notify the Supplier of any aspects of their performance of the provision of the Deliverables which the responses to the Satisfaction Surveys reasonably suggest are not in accordance with this Contract.</w:t>
      </w:r>
    </w:p>
    <w:p w14:paraId="160EED6B" w14:textId="77777777" w:rsidR="00D358CF" w:rsidRDefault="00D358CF">
      <w:pPr>
        <w:spacing w:after="0"/>
        <w:rPr>
          <w:rFonts w:cs="Arial"/>
        </w:rPr>
      </w:pPr>
    </w:p>
    <w:p w14:paraId="64540FC9" w14:textId="77777777" w:rsidR="00D358CF" w:rsidRDefault="00D358CF">
      <w:pPr>
        <w:spacing w:after="0"/>
        <w:rPr>
          <w:rFonts w:cs="Arial"/>
        </w:rPr>
      </w:pPr>
    </w:p>
    <w:p w14:paraId="60E905E0" w14:textId="77777777" w:rsidR="00D358CF" w:rsidRDefault="00D358CF">
      <w:pPr>
        <w:spacing w:after="0"/>
        <w:rPr>
          <w:rFonts w:cs="Arial"/>
        </w:rPr>
      </w:pPr>
    </w:p>
    <w:p w14:paraId="3DAFCB28" w14:textId="77777777" w:rsidR="00D358CF" w:rsidRDefault="00D358CF">
      <w:pPr>
        <w:spacing w:after="0"/>
        <w:rPr>
          <w:rFonts w:cs="Arial"/>
        </w:rPr>
      </w:pPr>
    </w:p>
    <w:p w14:paraId="6836DCB6" w14:textId="77777777" w:rsidR="00D358CF" w:rsidRDefault="00D358CF">
      <w:pPr>
        <w:spacing w:after="0"/>
        <w:rPr>
          <w:rFonts w:cs="Arial"/>
        </w:rPr>
      </w:pPr>
    </w:p>
    <w:p w14:paraId="661119D6" w14:textId="77777777" w:rsidR="00D358CF" w:rsidRDefault="00D358CF">
      <w:pPr>
        <w:spacing w:after="0"/>
        <w:rPr>
          <w:rFonts w:cs="Arial"/>
        </w:rPr>
      </w:pPr>
    </w:p>
    <w:p w14:paraId="120F6516" w14:textId="77777777" w:rsidR="00D358CF" w:rsidRDefault="00D358CF">
      <w:pPr>
        <w:spacing w:after="0"/>
        <w:rPr>
          <w:rFonts w:cs="Arial"/>
        </w:rPr>
      </w:pPr>
    </w:p>
    <w:p w14:paraId="3558E9D0" w14:textId="77777777" w:rsidR="00D358CF" w:rsidRDefault="00D358CF">
      <w:pPr>
        <w:spacing w:after="0"/>
        <w:rPr>
          <w:rFonts w:cs="Arial"/>
        </w:rPr>
      </w:pPr>
    </w:p>
    <w:p w14:paraId="5D47EA25" w14:textId="77777777" w:rsidR="00D358CF" w:rsidRDefault="00D358CF">
      <w:pPr>
        <w:spacing w:after="0"/>
        <w:rPr>
          <w:rFonts w:cs="Arial"/>
        </w:rPr>
      </w:pPr>
    </w:p>
    <w:p w14:paraId="19756A61" w14:textId="77777777" w:rsidR="00D358CF" w:rsidRDefault="00D358CF">
      <w:pPr>
        <w:spacing w:after="0"/>
        <w:rPr>
          <w:rFonts w:cs="Arial"/>
        </w:rPr>
      </w:pPr>
    </w:p>
    <w:p w14:paraId="43726C9D" w14:textId="77777777" w:rsidR="00D358CF" w:rsidRDefault="00D358CF">
      <w:pPr>
        <w:spacing w:after="0"/>
        <w:rPr>
          <w:rFonts w:cs="Arial"/>
        </w:rPr>
      </w:pPr>
    </w:p>
    <w:p w14:paraId="62BBF213" w14:textId="77777777" w:rsidR="00D358CF" w:rsidRPr="0088685B" w:rsidRDefault="00D358CF">
      <w:pPr>
        <w:spacing w:after="0"/>
        <w:rPr>
          <w:rFonts w:cs="Arial"/>
        </w:rPr>
      </w:pPr>
    </w:p>
    <w:sectPr w:rsidR="00D358CF" w:rsidRPr="0088685B" w:rsidSect="00871568">
      <w:pgSz w:w="11906" w:h="16838"/>
      <w:pgMar w:top="1440" w:right="1440" w:bottom="1440" w:left="1440"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ED0A2" w14:textId="77777777" w:rsidR="00A86307" w:rsidRDefault="00A86307">
      <w:pPr>
        <w:spacing w:after="0" w:line="240" w:lineRule="auto"/>
      </w:pPr>
      <w:r>
        <w:separator/>
      </w:r>
    </w:p>
  </w:endnote>
  <w:endnote w:type="continuationSeparator" w:id="0">
    <w:p w14:paraId="1CCC06A0" w14:textId="77777777" w:rsidR="00A86307" w:rsidRDefault="00A86307">
      <w:pPr>
        <w:spacing w:after="0" w:line="240" w:lineRule="auto"/>
      </w:pPr>
      <w:r>
        <w:continuationSeparator/>
      </w:r>
    </w:p>
  </w:endnote>
  <w:endnote w:type="continuationNotice" w:id="1">
    <w:p w14:paraId="2255B701" w14:textId="77777777" w:rsidR="00A86307" w:rsidRDefault="00A863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STZhongsong">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4C8A7" w14:textId="1BB8465C" w:rsidR="002E5DD2" w:rsidRPr="00F23A6C" w:rsidRDefault="002E5DD2" w:rsidP="000068DB">
    <w:pPr>
      <w:pBdr>
        <w:top w:val="nil"/>
        <w:left w:val="nil"/>
        <w:bottom w:val="nil"/>
        <w:right w:val="nil"/>
        <w:between w:val="nil"/>
      </w:pBdr>
      <w:tabs>
        <w:tab w:val="center" w:pos="4513"/>
        <w:tab w:val="right" w:pos="9026"/>
      </w:tabs>
      <w:spacing w:after="0" w:line="240" w:lineRule="auto"/>
      <w:rPr>
        <w:rFonts w:eastAsia="Arial" w:cs="Arial"/>
        <w:color w:val="000000"/>
        <w:sz w:val="20"/>
        <w:szCs w:val="20"/>
      </w:rPr>
    </w:pPr>
    <w:r>
      <w:rPr>
        <w:rFonts w:eastAsia="Arial" w:cs="Arial"/>
        <w:color w:val="000000"/>
        <w:sz w:val="20"/>
        <w:szCs w:val="20"/>
      </w:rPr>
      <w:t>v.1.</w:t>
    </w:r>
    <w:r w:rsidR="00AF1E19">
      <w:rPr>
        <w:rFonts w:eastAsia="Arial" w:cs="Arial"/>
        <w:color w:val="000000"/>
        <w:sz w:val="20"/>
        <w:szCs w:val="20"/>
      </w:rPr>
      <w:t>3</w:t>
    </w:r>
    <w:r>
      <w:rPr>
        <w:rFonts w:eastAsia="Arial" w:cs="Arial"/>
        <w:color w:val="000000"/>
        <w:sz w:val="20"/>
        <w:szCs w:val="20"/>
      </w:rPr>
      <w:tab/>
    </w:r>
    <w:r>
      <w:rPr>
        <w:rFonts w:eastAsia="Arial" w:cs="Arial"/>
        <w:color w:val="000000"/>
        <w:sz w:val="20"/>
        <w:szCs w:val="20"/>
      </w:rPr>
      <w:tab/>
    </w:r>
    <w:r>
      <w:rPr>
        <w:rFonts w:eastAsia="Arial" w:cs="Arial"/>
        <w:color w:val="000000"/>
        <w:sz w:val="20"/>
        <w:szCs w:val="20"/>
      </w:rPr>
      <w:fldChar w:fldCharType="begin"/>
    </w:r>
    <w:r>
      <w:rPr>
        <w:rFonts w:eastAsia="Arial" w:cs="Arial"/>
        <w:color w:val="000000"/>
        <w:sz w:val="20"/>
        <w:szCs w:val="20"/>
      </w:rPr>
      <w:instrText>PAGE</w:instrText>
    </w:r>
    <w:r>
      <w:rPr>
        <w:rFonts w:eastAsia="Arial" w:cs="Arial"/>
        <w:color w:val="000000"/>
        <w:sz w:val="20"/>
        <w:szCs w:val="20"/>
      </w:rPr>
      <w:fldChar w:fldCharType="separate"/>
    </w:r>
    <w:r w:rsidR="00F36489">
      <w:rPr>
        <w:rFonts w:eastAsia="Arial" w:cs="Arial"/>
        <w:noProof/>
        <w:color w:val="000000"/>
        <w:sz w:val="20"/>
        <w:szCs w:val="20"/>
      </w:rPr>
      <w:t>5</w:t>
    </w:r>
    <w:r>
      <w:rPr>
        <w:rFonts w:eastAsia="Arial" w:cs="Arial"/>
        <w:color w:val="000000"/>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3555" w14:textId="77777777" w:rsidR="002E5DD2" w:rsidRDefault="002E5DD2">
    <w:pPr>
      <w:tabs>
        <w:tab w:val="center" w:pos="4513"/>
        <w:tab w:val="right" w:pos="9026"/>
      </w:tabs>
      <w:spacing w:after="0" w:line="240" w:lineRule="auto"/>
      <w:jc w:val="both"/>
    </w:pPr>
  </w:p>
  <w:p w14:paraId="21CEB15B" w14:textId="77777777" w:rsidR="002E5DD2" w:rsidRDefault="002E5DD2">
    <w:pPr>
      <w:pBdr>
        <w:top w:val="nil"/>
        <w:left w:val="nil"/>
        <w:bottom w:val="nil"/>
        <w:right w:val="nil"/>
        <w:between w:val="nil"/>
      </w:pBdr>
      <w:tabs>
        <w:tab w:val="center" w:pos="4513"/>
        <w:tab w:val="right" w:pos="9026"/>
      </w:tabs>
      <w:spacing w:after="0" w:line="240" w:lineRule="auto"/>
      <w:rPr>
        <w:rFonts w:eastAsia="Arial" w:cs="Arial"/>
        <w:color w:val="000000"/>
        <w:sz w:val="20"/>
        <w:szCs w:val="20"/>
      </w:rPr>
    </w:pPr>
    <w:r>
      <w:rPr>
        <w:rFonts w:eastAsia="Arial" w:cs="Arial"/>
        <w:color w:val="000000"/>
        <w:sz w:val="20"/>
        <w:szCs w:val="20"/>
      </w:rPr>
      <w:tab/>
      <w:t xml:space="preserve">                                           </w:t>
    </w:r>
  </w:p>
  <w:p w14:paraId="1176C1BC" w14:textId="37EAEBC7" w:rsidR="002E5DD2" w:rsidRDefault="002E5DD2">
    <w:pPr>
      <w:pBdr>
        <w:top w:val="nil"/>
        <w:left w:val="nil"/>
        <w:bottom w:val="nil"/>
        <w:right w:val="nil"/>
        <w:between w:val="nil"/>
      </w:pBdr>
      <w:tabs>
        <w:tab w:val="center" w:pos="4513"/>
        <w:tab w:val="right" w:pos="9026"/>
      </w:tabs>
      <w:spacing w:after="0" w:line="240" w:lineRule="auto"/>
      <w:rPr>
        <w:rFonts w:eastAsia="Arial" w:cs="Arial"/>
        <w:color w:val="000000"/>
        <w:sz w:val="20"/>
        <w:szCs w:val="20"/>
      </w:rPr>
    </w:pPr>
    <w:r>
      <w:rPr>
        <w:rFonts w:eastAsia="Arial" w:cs="Arial"/>
        <w:color w:val="000000"/>
        <w:sz w:val="20"/>
        <w:szCs w:val="20"/>
      </w:rPr>
      <w:tab/>
    </w:r>
    <w:r>
      <w:rPr>
        <w:rFonts w:eastAsia="Arial" w:cs="Arial"/>
        <w:color w:val="000000"/>
        <w:sz w:val="20"/>
        <w:szCs w:val="20"/>
      </w:rPr>
      <w:tab/>
    </w:r>
    <w:r>
      <w:rPr>
        <w:rFonts w:eastAsia="Arial" w:cs="Arial"/>
        <w:color w:val="000000"/>
        <w:sz w:val="20"/>
        <w:szCs w:val="20"/>
      </w:rPr>
      <w:tab/>
    </w:r>
    <w:r>
      <w:rPr>
        <w:rFonts w:eastAsia="Arial" w:cs="Arial"/>
        <w:color w:val="000000"/>
        <w:sz w:val="20"/>
        <w:szCs w:val="20"/>
      </w:rPr>
      <w:fldChar w:fldCharType="begin"/>
    </w:r>
    <w:r>
      <w:rPr>
        <w:rFonts w:eastAsia="Arial" w:cs="Arial"/>
        <w:color w:val="000000"/>
        <w:sz w:val="20"/>
        <w:szCs w:val="20"/>
      </w:rPr>
      <w:instrText>PAGE</w:instrText>
    </w:r>
    <w:r>
      <w:rPr>
        <w:rFonts w:eastAsia="Arial" w:cs="Arial"/>
        <w:color w:val="000000"/>
        <w:sz w:val="20"/>
        <w:szCs w:val="20"/>
      </w:rPr>
      <w:fldChar w:fldCharType="separate"/>
    </w:r>
    <w:r w:rsidR="00626983">
      <w:rPr>
        <w:rFonts w:eastAsia="Arial" w:cs="Arial"/>
        <w:noProof/>
        <w:color w:val="000000"/>
        <w:sz w:val="20"/>
        <w:szCs w:val="20"/>
      </w:rPr>
      <w:t>4</w:t>
    </w:r>
    <w:r>
      <w:rPr>
        <w:rFonts w:eastAsia="Arial" w:cs="Arial"/>
        <w:color w:val="000000"/>
        <w:sz w:val="20"/>
        <w:szCs w:val="20"/>
      </w:rPr>
      <w:fldChar w:fldCharType="end"/>
    </w:r>
  </w:p>
  <w:p w14:paraId="13F2FC53" w14:textId="77777777" w:rsidR="002E5DD2" w:rsidRDefault="002E5DD2">
    <w:pPr>
      <w:pBdr>
        <w:top w:val="nil"/>
        <w:left w:val="nil"/>
        <w:bottom w:val="nil"/>
        <w:right w:val="nil"/>
        <w:between w:val="nil"/>
      </w:pBdr>
      <w:tabs>
        <w:tab w:val="center" w:pos="4513"/>
        <w:tab w:val="right" w:pos="9026"/>
      </w:tabs>
      <w:spacing w:after="0" w:line="240" w:lineRule="auto"/>
      <w:rPr>
        <w:rFonts w:eastAsia="Arial" w:cs="Arial"/>
        <w:color w:val="000000"/>
      </w:rPr>
    </w:pPr>
    <w:r>
      <w:rPr>
        <w:rFonts w:eastAsia="Arial" w:cs="Arial"/>
        <w:color w:val="000000"/>
        <w:sz w:val="20"/>
        <w:szCs w:val="20"/>
      </w:rPr>
      <w:tab/>
    </w:r>
    <w:r>
      <w:rPr>
        <w:rFonts w:eastAsia="Arial" w:cs="Arial"/>
        <w:color w:val="000000"/>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7A269" w14:textId="77777777" w:rsidR="00A86307" w:rsidRDefault="00A86307">
      <w:pPr>
        <w:spacing w:after="0" w:line="240" w:lineRule="auto"/>
      </w:pPr>
      <w:r>
        <w:separator/>
      </w:r>
    </w:p>
  </w:footnote>
  <w:footnote w:type="continuationSeparator" w:id="0">
    <w:p w14:paraId="45622780" w14:textId="77777777" w:rsidR="00A86307" w:rsidRDefault="00A86307">
      <w:pPr>
        <w:spacing w:after="0" w:line="240" w:lineRule="auto"/>
      </w:pPr>
      <w:r>
        <w:continuationSeparator/>
      </w:r>
    </w:p>
  </w:footnote>
  <w:footnote w:type="continuationNotice" w:id="1">
    <w:p w14:paraId="3FB18ED2" w14:textId="77777777" w:rsidR="00A86307" w:rsidRDefault="00A863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A9D00" w14:textId="4F9E6B3E" w:rsidR="002E5DD2" w:rsidRPr="00101CFB" w:rsidRDefault="002E5DD2" w:rsidP="00147AB8">
    <w:pPr>
      <w:pBdr>
        <w:top w:val="nil"/>
        <w:left w:val="nil"/>
        <w:bottom w:val="nil"/>
        <w:right w:val="nil"/>
        <w:between w:val="nil"/>
      </w:pBdr>
      <w:tabs>
        <w:tab w:val="center" w:pos="4513"/>
        <w:tab w:val="right" w:pos="9026"/>
      </w:tabs>
      <w:spacing w:after="0" w:line="240" w:lineRule="auto"/>
      <w:rPr>
        <w:rFonts w:eastAsia="Arial" w:cs="Arial"/>
        <w:bCs/>
        <w:color w:val="000000"/>
        <w:sz w:val="20"/>
        <w:szCs w:val="20"/>
      </w:rPr>
    </w:pPr>
    <w:r w:rsidRPr="00101CFB">
      <w:rPr>
        <w:rFonts w:eastAsia="Arial" w:cs="Arial"/>
        <w:bCs/>
        <w:color w:val="000000"/>
        <w:sz w:val="20"/>
        <w:szCs w:val="20"/>
      </w:rPr>
      <w:t>Schedule 10 (</w:t>
    </w:r>
    <w:r>
      <w:rPr>
        <w:rFonts w:eastAsia="Arial" w:cs="Arial"/>
        <w:bCs/>
        <w:color w:val="000000"/>
        <w:sz w:val="20"/>
        <w:szCs w:val="20"/>
      </w:rPr>
      <w:t>Performance</w:t>
    </w:r>
    <w:r w:rsidRPr="00101CFB">
      <w:rPr>
        <w:rFonts w:eastAsia="Arial" w:cs="Arial"/>
        <w:bCs/>
        <w:color w:val="000000"/>
        <w:sz w:val="20"/>
        <w:szCs w:val="20"/>
      </w:rPr>
      <w:t xml:space="preserve"> Levels), Crown Copyright 202</w:t>
    </w:r>
    <w:r>
      <w:rPr>
        <w:rFonts w:eastAsia="Arial" w:cs="Arial"/>
        <w:bCs/>
        <w:color w:val="000000"/>
        <w:sz w:val="20"/>
        <w:szCs w:val="20"/>
      </w:rPr>
      <w:t>5</w:t>
    </w:r>
    <w:r w:rsidRPr="00101CFB">
      <w:rPr>
        <w:rFonts w:eastAsia="Arial" w:cs="Arial"/>
        <w:bCs/>
        <w:color w:val="000000"/>
        <w:sz w:val="20"/>
        <w:szCs w:val="20"/>
      </w:rPr>
      <w:t>, [Subject to Contract]</w:t>
    </w:r>
  </w:p>
  <w:p w14:paraId="2F2E1EA6" w14:textId="77777777" w:rsidR="002E5DD2" w:rsidRDefault="002E5DD2">
    <w:pPr>
      <w:pBdr>
        <w:top w:val="nil"/>
        <w:left w:val="nil"/>
        <w:bottom w:val="nil"/>
        <w:right w:val="nil"/>
        <w:between w:val="nil"/>
      </w:pBdr>
      <w:tabs>
        <w:tab w:val="center" w:pos="4513"/>
        <w:tab w:val="right" w:pos="9026"/>
      </w:tabs>
      <w:spacing w:after="0" w:line="240" w:lineRule="auto"/>
      <w:rPr>
        <w:rFonts w:eastAsia="Arial" w:cs="Arial"/>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0310"/>
    <w:multiLevelType w:val="multilevel"/>
    <w:tmpl w:val="6EDECC78"/>
    <w:lvl w:ilvl="0">
      <w:start w:val="1"/>
      <w:numFmt w:val="decimal"/>
      <w:pStyle w:val="BodyTextInden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CD3226"/>
    <w:multiLevelType w:val="hybridMultilevel"/>
    <w:tmpl w:val="60981316"/>
    <w:lvl w:ilvl="0" w:tplc="6898EF06">
      <w:start w:val="1"/>
      <w:numFmt w:val="decimal"/>
      <w:lvlText w:val="%1"/>
      <w:lvlJc w:val="left"/>
      <w:pPr>
        <w:ind w:left="1260" w:hanging="360"/>
      </w:pPr>
      <w:rPr>
        <w:rFonts w:cs="Times New Roman" w:hint="default"/>
      </w:rPr>
    </w:lvl>
    <w:lvl w:ilvl="1" w:tplc="08090019" w:tentative="1">
      <w:start w:val="1"/>
      <w:numFmt w:val="lowerLetter"/>
      <w:lvlText w:val="%2."/>
      <w:lvlJc w:val="left"/>
      <w:pPr>
        <w:ind w:left="1980" w:hanging="360"/>
      </w:pPr>
      <w:rPr>
        <w:rFonts w:cs="Times New Roman"/>
      </w:rPr>
    </w:lvl>
    <w:lvl w:ilvl="2" w:tplc="0809001B" w:tentative="1">
      <w:start w:val="1"/>
      <w:numFmt w:val="lowerRoman"/>
      <w:lvlText w:val="%3."/>
      <w:lvlJc w:val="right"/>
      <w:pPr>
        <w:ind w:left="2700" w:hanging="180"/>
      </w:pPr>
      <w:rPr>
        <w:rFonts w:cs="Times New Roman"/>
      </w:rPr>
    </w:lvl>
    <w:lvl w:ilvl="3" w:tplc="0809000F" w:tentative="1">
      <w:start w:val="1"/>
      <w:numFmt w:val="decimal"/>
      <w:lvlText w:val="%4."/>
      <w:lvlJc w:val="left"/>
      <w:pPr>
        <w:ind w:left="3420" w:hanging="360"/>
      </w:pPr>
      <w:rPr>
        <w:rFonts w:cs="Times New Roman"/>
      </w:rPr>
    </w:lvl>
    <w:lvl w:ilvl="4" w:tplc="08090019" w:tentative="1">
      <w:start w:val="1"/>
      <w:numFmt w:val="lowerLetter"/>
      <w:lvlText w:val="%5."/>
      <w:lvlJc w:val="left"/>
      <w:pPr>
        <w:ind w:left="4140" w:hanging="360"/>
      </w:pPr>
      <w:rPr>
        <w:rFonts w:cs="Times New Roman"/>
      </w:rPr>
    </w:lvl>
    <w:lvl w:ilvl="5" w:tplc="0809001B" w:tentative="1">
      <w:start w:val="1"/>
      <w:numFmt w:val="lowerRoman"/>
      <w:lvlText w:val="%6."/>
      <w:lvlJc w:val="right"/>
      <w:pPr>
        <w:ind w:left="4860" w:hanging="180"/>
      </w:pPr>
      <w:rPr>
        <w:rFonts w:cs="Times New Roman"/>
      </w:rPr>
    </w:lvl>
    <w:lvl w:ilvl="6" w:tplc="0809000F" w:tentative="1">
      <w:start w:val="1"/>
      <w:numFmt w:val="decimal"/>
      <w:lvlText w:val="%7."/>
      <w:lvlJc w:val="left"/>
      <w:pPr>
        <w:ind w:left="5580" w:hanging="360"/>
      </w:pPr>
      <w:rPr>
        <w:rFonts w:cs="Times New Roman"/>
      </w:rPr>
    </w:lvl>
    <w:lvl w:ilvl="7" w:tplc="08090019" w:tentative="1">
      <w:start w:val="1"/>
      <w:numFmt w:val="lowerLetter"/>
      <w:lvlText w:val="%8."/>
      <w:lvlJc w:val="left"/>
      <w:pPr>
        <w:ind w:left="6300" w:hanging="360"/>
      </w:pPr>
      <w:rPr>
        <w:rFonts w:cs="Times New Roman"/>
      </w:rPr>
    </w:lvl>
    <w:lvl w:ilvl="8" w:tplc="0809001B" w:tentative="1">
      <w:start w:val="1"/>
      <w:numFmt w:val="lowerRoman"/>
      <w:lvlText w:val="%9."/>
      <w:lvlJc w:val="right"/>
      <w:pPr>
        <w:ind w:left="7020" w:hanging="180"/>
      </w:pPr>
      <w:rPr>
        <w:rFonts w:cs="Times New Roman"/>
      </w:rPr>
    </w:lvl>
  </w:abstractNum>
  <w:abstractNum w:abstractNumId="2" w15:restartNumberingAfterBreak="0">
    <w:nsid w:val="172813BB"/>
    <w:multiLevelType w:val="hybridMultilevel"/>
    <w:tmpl w:val="5D227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87CC6"/>
    <w:multiLevelType w:val="multilevel"/>
    <w:tmpl w:val="96B2B050"/>
    <w:lvl w:ilvl="0">
      <w:start w:val="1"/>
      <w:numFmt w:val="decimal"/>
      <w:lvlText w:val="%1."/>
      <w:lvlJc w:val="left"/>
      <w:pPr>
        <w:ind w:left="360" w:hanging="360"/>
      </w:pPr>
      <w:rPr>
        <w:rFonts w:ascii="Arial" w:eastAsia="Arial" w:hAnsi="Arial" w:cs="Arial" w:hint="default"/>
        <w:b/>
        <w:i w:val="0"/>
        <w:smallCaps w:val="0"/>
        <w:strike w:val="0"/>
        <w:color w:val="000000"/>
        <w:sz w:val="24"/>
        <w:szCs w:val="24"/>
        <w:u w:val="none"/>
        <w:vertAlign w:val="baseline"/>
      </w:rPr>
    </w:lvl>
    <w:lvl w:ilvl="1">
      <w:start w:val="1"/>
      <w:numFmt w:val="decimal"/>
      <w:lvlText w:val="%1.%2"/>
      <w:lvlJc w:val="left"/>
      <w:pPr>
        <w:ind w:left="907" w:hanging="547"/>
      </w:pPr>
      <w:rPr>
        <w:rFonts w:ascii="Arial" w:eastAsia="Arial" w:hAnsi="Arial" w:cs="Arial" w:hint="default"/>
        <w:b w:val="0"/>
        <w:i w:val="0"/>
        <w:smallCaps w:val="0"/>
        <w:strike w:val="0"/>
        <w:color w:val="000000"/>
        <w:sz w:val="24"/>
        <w:szCs w:val="24"/>
        <w:u w:val="none"/>
        <w:vertAlign w:val="baseline"/>
      </w:rPr>
    </w:lvl>
    <w:lvl w:ilvl="2">
      <w:start w:val="1"/>
      <w:numFmt w:val="decimal"/>
      <w:lvlText w:val="%1.%2.%3"/>
      <w:lvlJc w:val="left"/>
      <w:pPr>
        <w:ind w:left="1757" w:hanging="850"/>
      </w:pPr>
      <w:rPr>
        <w:rFonts w:ascii="Arial" w:eastAsia="Arial" w:hAnsi="Arial" w:cs="Arial" w:hint="default"/>
        <w:b w:val="0"/>
        <w:i w:val="0"/>
        <w:smallCaps w:val="0"/>
        <w:strike w:val="0"/>
        <w:color w:val="000000"/>
        <w:sz w:val="24"/>
        <w:szCs w:val="24"/>
        <w:u w:val="none"/>
        <w:vertAlign w:val="baseline"/>
      </w:rPr>
    </w:lvl>
    <w:lvl w:ilvl="3">
      <w:start w:val="1"/>
      <w:numFmt w:val="lowerLetter"/>
      <w:lvlText w:val="(%4)"/>
      <w:lvlJc w:val="left"/>
      <w:pPr>
        <w:ind w:left="2606" w:hanging="848"/>
      </w:pPr>
      <w:rPr>
        <w:rFonts w:hint="default"/>
        <w:b w:val="0"/>
        <w:i w:val="0"/>
        <w:smallCaps w:val="0"/>
        <w:strike w:val="0"/>
        <w:color w:val="000000"/>
        <w:sz w:val="24"/>
        <w:szCs w:val="24"/>
        <w:u w:val="none"/>
        <w:vertAlign w:val="baseline"/>
      </w:rPr>
    </w:lvl>
    <w:lvl w:ilvl="4">
      <w:start w:val="1"/>
      <w:numFmt w:val="lowerRoman"/>
      <w:lvlText w:val="(%5)"/>
      <w:lvlJc w:val="left"/>
      <w:pPr>
        <w:ind w:left="3600" w:hanging="720"/>
      </w:pPr>
      <w:rPr>
        <w:rFonts w:hint="default"/>
        <w:b w:val="0"/>
        <w:i w:val="0"/>
        <w:smallCaps w:val="0"/>
        <w:strike w:val="0"/>
        <w:color w:val="000000"/>
        <w:u w:val="none"/>
        <w:vertAlign w:val="baseline"/>
      </w:rPr>
    </w:lvl>
    <w:lvl w:ilvl="5">
      <w:start w:val="1"/>
      <w:numFmt w:val="upperLetter"/>
      <w:lvlText w:val="(%6)"/>
      <w:lvlJc w:val="left"/>
      <w:pPr>
        <w:ind w:left="1440" w:hanging="1080"/>
      </w:pPr>
      <w:rPr>
        <w:rFonts w:hint="default"/>
        <w:b w:val="0"/>
        <w:i w:val="0"/>
        <w:smallCaps w:val="0"/>
        <w:strike w:val="0"/>
        <w:color w:val="000000"/>
        <w:u w:val="none"/>
        <w:vertAlign w:val="baseline"/>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4" w15:restartNumberingAfterBreak="0">
    <w:nsid w:val="25723AAE"/>
    <w:multiLevelType w:val="multilevel"/>
    <w:tmpl w:val="8F785C60"/>
    <w:lvl w:ilvl="0">
      <w:start w:val="1"/>
      <w:numFmt w:val="decimal"/>
      <w:pStyle w:val="GPSL1CLAUSEHEADING"/>
      <w:lvlText w:val="%1."/>
      <w:lvlJc w:val="left"/>
      <w:pPr>
        <w:tabs>
          <w:tab w:val="num" w:pos="360"/>
        </w:tabs>
        <w:ind w:left="360" w:hanging="360"/>
      </w:pPr>
      <w:rPr>
        <w:rFonts w:ascii="Arial" w:eastAsia="Arial" w:hAnsi="Arial" w:cs="Arial" w:hint="default"/>
        <w:b/>
        <w:i w:val="0"/>
        <w:smallCaps w:val="0"/>
        <w:strike w:val="0"/>
        <w:color w:val="000000"/>
        <w:sz w:val="24"/>
        <w:szCs w:val="24"/>
        <w:u w:val="none"/>
        <w:vertAlign w:val="baseline"/>
      </w:rPr>
    </w:lvl>
    <w:lvl w:ilvl="1">
      <w:start w:val="1"/>
      <w:numFmt w:val="decimal"/>
      <w:pStyle w:val="GPSL2numberedclause"/>
      <w:lvlText w:val="%1.%2"/>
      <w:lvlJc w:val="left"/>
      <w:pPr>
        <w:tabs>
          <w:tab w:val="num" w:pos="907"/>
        </w:tabs>
        <w:ind w:left="907" w:hanging="547"/>
      </w:pPr>
      <w:rPr>
        <w:rFonts w:ascii="Arial" w:hAnsi="Arial" w:cs="Calibri" w:hint="default"/>
        <w:b w:val="0"/>
        <w:i w:val="0"/>
        <w:smallCaps w:val="0"/>
        <w:strike w:val="0"/>
        <w:color w:val="000000"/>
        <w:sz w:val="24"/>
        <w:szCs w:val="22"/>
        <w:u w:val="none"/>
        <w:vertAlign w:val="baseline"/>
      </w:rPr>
    </w:lvl>
    <w:lvl w:ilvl="2">
      <w:start w:val="1"/>
      <w:numFmt w:val="decimal"/>
      <w:pStyle w:val="GPSL3numberedclause"/>
      <w:lvlText w:val="%1.%2.%3"/>
      <w:lvlJc w:val="left"/>
      <w:pPr>
        <w:tabs>
          <w:tab w:val="num" w:pos="1757"/>
        </w:tabs>
        <w:ind w:left="1757" w:hanging="850"/>
      </w:pPr>
      <w:rPr>
        <w:rFonts w:ascii="Arial" w:eastAsia="Arial" w:hAnsi="Arial" w:cs="Arial" w:hint="default"/>
        <w:b w:val="0"/>
        <w:i w:val="0"/>
        <w:smallCaps w:val="0"/>
        <w:strike w:val="0"/>
        <w:color w:val="000000"/>
        <w:sz w:val="24"/>
        <w:szCs w:val="24"/>
        <w:u w:val="none"/>
        <w:vertAlign w:val="baseline"/>
      </w:rPr>
    </w:lvl>
    <w:lvl w:ilvl="3">
      <w:start w:val="1"/>
      <w:numFmt w:val="lowerLetter"/>
      <w:pStyle w:val="GPSL4numberedclause"/>
      <w:lvlText w:val="%4)"/>
      <w:lvlJc w:val="left"/>
      <w:pPr>
        <w:tabs>
          <w:tab w:val="num" w:pos="2606"/>
        </w:tabs>
        <w:ind w:left="2606" w:hanging="849"/>
      </w:pPr>
      <w:rPr>
        <w:rFonts w:ascii="Arial" w:hAnsi="Arial" w:cs="Calibri" w:hint="default"/>
        <w:b w:val="0"/>
        <w:i w:val="0"/>
        <w:smallCaps w:val="0"/>
        <w:strike w:val="0"/>
        <w:color w:val="000000"/>
        <w:sz w:val="24"/>
        <w:szCs w:val="22"/>
        <w:u w:val="none"/>
        <w:vertAlign w:val="baseline"/>
      </w:rPr>
    </w:lvl>
    <w:lvl w:ilvl="4">
      <w:start w:val="1"/>
      <w:numFmt w:val="lowerRoman"/>
      <w:lvlText w:val="(%5)"/>
      <w:lvlJc w:val="left"/>
      <w:pPr>
        <w:ind w:left="3600" w:hanging="720"/>
      </w:pPr>
      <w:rPr>
        <w:rFonts w:hint="default"/>
        <w:b w:val="0"/>
        <w:i w:val="0"/>
        <w:smallCaps w:val="0"/>
        <w:strike w:val="0"/>
        <w:color w:val="000000"/>
        <w:u w:val="none"/>
        <w:vertAlign w:val="baseline"/>
      </w:rPr>
    </w:lvl>
    <w:lvl w:ilvl="5">
      <w:start w:val="1"/>
      <w:numFmt w:val="upperLetter"/>
      <w:lvlText w:val="(%6)"/>
      <w:lvlJc w:val="left"/>
      <w:pPr>
        <w:ind w:left="1440" w:hanging="1080"/>
      </w:pPr>
      <w:rPr>
        <w:rFonts w:hint="default"/>
        <w:b w:val="0"/>
        <w:i w:val="0"/>
        <w:smallCaps w:val="0"/>
        <w:strike w:val="0"/>
        <w:color w:val="000000"/>
        <w:u w:val="none"/>
        <w:vertAlign w:val="baseline"/>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5" w15:restartNumberingAfterBreak="0">
    <w:nsid w:val="4C965BC8"/>
    <w:multiLevelType w:val="multilevel"/>
    <w:tmpl w:val="E6165AD2"/>
    <w:lvl w:ilvl="0">
      <w:start w:val="1"/>
      <w:numFmt w:val="decimal"/>
      <w:lvlText w:val="%1."/>
      <w:lvlJc w:val="left"/>
      <w:pPr>
        <w:ind w:left="360" w:hanging="360"/>
      </w:pPr>
      <w:rPr>
        <w:rFonts w:ascii="Arial" w:eastAsia="Arial" w:hAnsi="Arial" w:cs="Arial"/>
        <w:b/>
        <w:i w:val="0"/>
        <w:smallCaps w:val="0"/>
        <w:strike w:val="0"/>
        <w:color w:val="000000"/>
        <w:sz w:val="24"/>
        <w:szCs w:val="24"/>
        <w:u w:val="none"/>
        <w:vertAlign w:val="baseline"/>
      </w:rPr>
    </w:lvl>
    <w:lvl w:ilvl="1">
      <w:start w:val="1"/>
      <w:numFmt w:val="decimal"/>
      <w:pStyle w:val="GPSL2NumberedBoldHeading"/>
      <w:lvlText w:val="%1.%2"/>
      <w:lvlJc w:val="left"/>
      <w:pPr>
        <w:ind w:left="907" w:hanging="547"/>
      </w:pPr>
      <w:rPr>
        <w:rFonts w:ascii="Arial" w:eastAsia="Arial" w:hAnsi="Arial" w:cs="Arial"/>
        <w:b w:val="0"/>
        <w:i w:val="0"/>
        <w:smallCaps w:val="0"/>
        <w:strike w:val="0"/>
        <w:color w:val="000000"/>
        <w:sz w:val="24"/>
        <w:szCs w:val="24"/>
        <w:u w:val="none"/>
        <w:vertAlign w:val="baseline"/>
      </w:rPr>
    </w:lvl>
    <w:lvl w:ilvl="2">
      <w:start w:val="1"/>
      <w:numFmt w:val="decimal"/>
      <w:lvlText w:val="%1.%2.%3"/>
      <w:lvlJc w:val="left"/>
      <w:pPr>
        <w:ind w:left="1757" w:hanging="850"/>
      </w:pPr>
      <w:rPr>
        <w:rFonts w:ascii="Arial" w:eastAsia="Arial" w:hAnsi="Arial" w:cs="Arial"/>
        <w:b w:val="0"/>
        <w:i w:val="0"/>
        <w:smallCaps w:val="0"/>
        <w:strike w:val="0"/>
        <w:color w:val="000000"/>
        <w:sz w:val="24"/>
        <w:szCs w:val="24"/>
        <w:u w:val="none"/>
        <w:vertAlign w:val="baseline"/>
      </w:rPr>
    </w:lvl>
    <w:lvl w:ilvl="3">
      <w:start w:val="1"/>
      <w:numFmt w:val="lowerLetter"/>
      <w:lvlText w:val="%4)"/>
      <w:lvlJc w:val="left"/>
      <w:pPr>
        <w:ind w:left="2606" w:hanging="848"/>
      </w:pPr>
      <w:rPr>
        <w:b w:val="0"/>
        <w:i w:val="0"/>
        <w:smallCaps w:val="0"/>
        <w:strike w:val="0"/>
        <w:color w:val="000000"/>
        <w:sz w:val="24"/>
        <w:szCs w:val="24"/>
        <w:u w:val="none"/>
        <w:vertAlign w:val="baseline"/>
      </w:rPr>
    </w:lvl>
    <w:lvl w:ilvl="4">
      <w:start w:val="1"/>
      <w:numFmt w:val="lowerRoman"/>
      <w:lvlText w:val="(%5)"/>
      <w:lvlJc w:val="left"/>
      <w:pPr>
        <w:ind w:left="3600" w:hanging="720"/>
      </w:pPr>
      <w:rPr>
        <w:b w:val="0"/>
        <w:i w:val="0"/>
        <w:smallCaps w:val="0"/>
        <w:strike w:val="0"/>
        <w:color w:val="000000"/>
        <w:u w:val="none"/>
        <w:vertAlign w:val="baseline"/>
      </w:rPr>
    </w:lvl>
    <w:lvl w:ilvl="5">
      <w:start w:val="1"/>
      <w:numFmt w:val="upperLetter"/>
      <w:lvlText w:val="(%6)"/>
      <w:lvlJc w:val="left"/>
      <w:pPr>
        <w:ind w:left="1440" w:hanging="1080"/>
      </w:pPr>
      <w:rPr>
        <w:b w:val="0"/>
        <w:i w:val="0"/>
        <w:smallCaps w:val="0"/>
        <w:strike w:val="0"/>
        <w:color w:val="000000"/>
        <w:u w:val="none"/>
        <w:vertAlign w:val="baseline"/>
      </w:r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58AC0137"/>
    <w:multiLevelType w:val="multilevel"/>
    <w:tmpl w:val="82DC9354"/>
    <w:lvl w:ilvl="0">
      <w:start w:val="1"/>
      <w:numFmt w:val="decimal"/>
      <w:lvlText w:val="%1."/>
      <w:lvlJc w:val="left"/>
      <w:pPr>
        <w:ind w:left="360" w:hanging="360"/>
      </w:pPr>
      <w:rPr>
        <w:rFonts w:ascii="Arial" w:eastAsia="Arial" w:hAnsi="Arial" w:cs="Arial"/>
        <w:b/>
        <w:i w:val="0"/>
        <w:smallCaps w:val="0"/>
        <w:strike w:val="0"/>
        <w:color w:val="000000"/>
        <w:sz w:val="24"/>
        <w:szCs w:val="24"/>
        <w:u w:val="none"/>
        <w:vertAlign w:val="baseline"/>
      </w:rPr>
    </w:lvl>
    <w:lvl w:ilvl="1">
      <w:start w:val="1"/>
      <w:numFmt w:val="decimal"/>
      <w:lvlText w:val="%1.%2"/>
      <w:lvlJc w:val="left"/>
      <w:pPr>
        <w:ind w:left="907" w:hanging="547"/>
      </w:pPr>
      <w:rPr>
        <w:rFonts w:ascii="Arial" w:eastAsia="Arial" w:hAnsi="Arial" w:cs="Arial"/>
        <w:b w:val="0"/>
        <w:i w:val="0"/>
        <w:smallCaps w:val="0"/>
        <w:strike w:val="0"/>
        <w:color w:val="000000"/>
        <w:sz w:val="24"/>
        <w:szCs w:val="24"/>
        <w:u w:val="none"/>
        <w:vertAlign w:val="baseline"/>
      </w:rPr>
    </w:lvl>
    <w:lvl w:ilvl="2">
      <w:start w:val="1"/>
      <w:numFmt w:val="decimal"/>
      <w:lvlText w:val="%1.%2.%3"/>
      <w:lvlJc w:val="left"/>
      <w:pPr>
        <w:ind w:left="1757" w:hanging="850"/>
      </w:pPr>
      <w:rPr>
        <w:rFonts w:ascii="Arial" w:eastAsia="Arial" w:hAnsi="Arial" w:cs="Arial"/>
        <w:b w:val="0"/>
        <w:i w:val="0"/>
        <w:smallCaps w:val="0"/>
        <w:strike w:val="0"/>
        <w:color w:val="000000"/>
        <w:sz w:val="24"/>
        <w:szCs w:val="24"/>
        <w:u w:val="none"/>
        <w:vertAlign w:val="baseline"/>
      </w:rPr>
    </w:lvl>
    <w:lvl w:ilvl="3">
      <w:start w:val="1"/>
      <w:numFmt w:val="lowerLetter"/>
      <w:lvlText w:val="%4)"/>
      <w:lvlJc w:val="left"/>
      <w:pPr>
        <w:ind w:left="2606" w:hanging="848"/>
      </w:pPr>
      <w:rPr>
        <w:b w:val="0"/>
        <w:i w:val="0"/>
        <w:smallCaps w:val="0"/>
        <w:strike w:val="0"/>
        <w:color w:val="000000"/>
        <w:sz w:val="24"/>
        <w:szCs w:val="24"/>
        <w:u w:val="none"/>
        <w:vertAlign w:val="baseline"/>
      </w:rPr>
    </w:lvl>
    <w:lvl w:ilvl="4">
      <w:start w:val="1"/>
      <w:numFmt w:val="lowerRoman"/>
      <w:lvlText w:val="(%5)"/>
      <w:lvlJc w:val="left"/>
      <w:pPr>
        <w:ind w:left="3600" w:hanging="720"/>
      </w:pPr>
      <w:rPr>
        <w:b w:val="0"/>
        <w:i w:val="0"/>
        <w:smallCaps w:val="0"/>
        <w:strike w:val="0"/>
        <w:color w:val="000000"/>
        <w:u w:val="none"/>
        <w:vertAlign w:val="baseline"/>
      </w:rPr>
    </w:lvl>
    <w:lvl w:ilvl="5">
      <w:start w:val="1"/>
      <w:numFmt w:val="upperLetter"/>
      <w:lvlText w:val="(%6)"/>
      <w:lvlJc w:val="left"/>
      <w:pPr>
        <w:ind w:left="1440" w:hanging="1080"/>
      </w:pPr>
      <w:rPr>
        <w:b w:val="0"/>
        <w:i w:val="0"/>
        <w:smallCaps w:val="0"/>
        <w:strike w:val="0"/>
        <w:color w:val="000000"/>
        <w:u w:val="none"/>
        <w:vertAlign w:val="baseline"/>
      </w:r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5BB1631E"/>
    <w:multiLevelType w:val="hybridMultilevel"/>
    <w:tmpl w:val="55340398"/>
    <w:lvl w:ilvl="0" w:tplc="A364A408">
      <w:start w:val="6"/>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0723921"/>
    <w:multiLevelType w:val="multilevel"/>
    <w:tmpl w:val="D8941D22"/>
    <w:lvl w:ilvl="0">
      <w:start w:val="1"/>
      <w:numFmt w:val="decimal"/>
      <w:pStyle w:val="GPsDefinition"/>
      <w:lvlText w:val="%1."/>
      <w:lvlJc w:val="left"/>
      <w:pPr>
        <w:ind w:left="720" w:hanging="720"/>
      </w:pPr>
      <w:rPr>
        <w:rFonts w:ascii="Calibri" w:eastAsia="Calibri" w:hAnsi="Calibri" w:cs="Calibri"/>
        <w:b/>
        <w:i w:val="0"/>
        <w:smallCaps w:val="0"/>
        <w:strike w:val="0"/>
        <w:color w:val="000000"/>
        <w:sz w:val="22"/>
        <w:szCs w:val="22"/>
        <w:u w:val="none"/>
        <w:vertAlign w:val="baseline"/>
      </w:rPr>
    </w:lvl>
    <w:lvl w:ilvl="1">
      <w:start w:val="1"/>
      <w:numFmt w:val="lowerLetter"/>
      <w:pStyle w:val="GPSDefinitionL2"/>
      <w:lvlText w:val="%2)"/>
      <w:lvlJc w:val="left"/>
      <w:pPr>
        <w:ind w:left="1440" w:hanging="720"/>
      </w:pPr>
      <w:rPr>
        <w:b w:val="0"/>
        <w:i w:val="0"/>
        <w:smallCaps w:val="0"/>
        <w:strike w:val="0"/>
        <w:color w:val="000000"/>
        <w:sz w:val="22"/>
        <w:szCs w:val="22"/>
        <w:u w:val="none"/>
        <w:vertAlign w:val="baseline"/>
      </w:rPr>
    </w:lvl>
    <w:lvl w:ilvl="2">
      <w:start w:val="1"/>
      <w:numFmt w:val="decimal"/>
      <w:pStyle w:val="GPSDefinitionL3"/>
      <w:lvlText w:val="%1.2.%3"/>
      <w:lvlJc w:val="left"/>
      <w:pPr>
        <w:ind w:left="2160" w:hanging="720"/>
      </w:pPr>
      <w:rPr>
        <w:rFonts w:ascii="Arial" w:eastAsia="Arial" w:hAnsi="Arial" w:cs="Arial"/>
        <w:b w:val="0"/>
        <w:i w:val="0"/>
        <w:smallCaps w:val="0"/>
        <w:strike w:val="0"/>
        <w:color w:val="000000"/>
        <w:sz w:val="24"/>
        <w:szCs w:val="24"/>
        <w:u w:val="none"/>
        <w:vertAlign w:val="baseline"/>
      </w:rPr>
    </w:lvl>
    <w:lvl w:ilvl="3">
      <w:start w:val="1"/>
      <w:numFmt w:val="lowerLetter"/>
      <w:pStyle w:val="GPSDefinitionL4"/>
      <w:lvlText w:val="(%4)"/>
      <w:lvlJc w:val="left"/>
      <w:pPr>
        <w:ind w:left="2880" w:hanging="720"/>
      </w:pPr>
      <w:rPr>
        <w:rFonts w:ascii="Calibri" w:eastAsia="Calibri" w:hAnsi="Calibri" w:cs="Calibri"/>
        <w:b w:val="0"/>
        <w:i w:val="0"/>
        <w:smallCaps w:val="0"/>
        <w:strike w:val="0"/>
        <w:color w:val="000000"/>
        <w:sz w:val="22"/>
        <w:szCs w:val="22"/>
        <w:u w:val="none"/>
        <w:vertAlign w:val="baseline"/>
      </w:rPr>
    </w:lvl>
    <w:lvl w:ilvl="4">
      <w:start w:val="1"/>
      <w:numFmt w:val="lowerRoman"/>
      <w:lvlText w:val="(%5)"/>
      <w:lvlJc w:val="left"/>
      <w:pPr>
        <w:ind w:left="3600" w:hanging="720"/>
      </w:pPr>
      <w:rPr>
        <w:b w:val="0"/>
        <w:i w:val="0"/>
        <w:smallCaps w:val="0"/>
        <w:strike w:val="0"/>
        <w:color w:val="000000"/>
        <w:u w:val="none"/>
        <w:vertAlign w:val="baseline"/>
      </w:rPr>
    </w:lvl>
    <w:lvl w:ilvl="5">
      <w:start w:val="1"/>
      <w:numFmt w:val="upperLetter"/>
      <w:lvlText w:val="(%6)"/>
      <w:lvlJc w:val="left"/>
      <w:pPr>
        <w:ind w:left="1440" w:hanging="1080"/>
      </w:pPr>
      <w:rPr>
        <w:b w:val="0"/>
        <w:i w:val="0"/>
        <w:smallCaps w:val="0"/>
        <w:strike w:val="0"/>
        <w:color w:val="000000"/>
        <w:u w:val="none"/>
        <w:vertAlign w:val="baseline"/>
      </w:r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67736AA9"/>
    <w:multiLevelType w:val="multilevel"/>
    <w:tmpl w:val="2CEE12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F347084"/>
    <w:multiLevelType w:val="multilevel"/>
    <w:tmpl w:val="A3FEEA2E"/>
    <w:lvl w:ilvl="0">
      <w:start w:val="1"/>
      <w:numFmt w:val="decimal"/>
      <w:lvlText w:val="%1"/>
      <w:lvlJc w:val="left"/>
      <w:pPr>
        <w:ind w:left="720" w:hanging="720"/>
      </w:pPr>
      <w:rPr>
        <w:smallCaps w:val="0"/>
        <w:strike w:val="0"/>
        <w:u w:val="none"/>
        <w:vertAlign w:val="baseline"/>
      </w:rPr>
    </w:lvl>
    <w:lvl w:ilvl="1">
      <w:start w:val="1"/>
      <w:numFmt w:val="decimal"/>
      <w:lvlText w:val="%1.%2"/>
      <w:lvlJc w:val="left"/>
      <w:pPr>
        <w:ind w:left="720" w:hanging="720"/>
      </w:pPr>
    </w:lvl>
    <w:lvl w:ilvl="2">
      <w:start w:val="1"/>
      <w:numFmt w:val="decimal"/>
      <w:lvlText w:val="%1.%2.%3"/>
      <w:lvlJc w:val="left"/>
      <w:pPr>
        <w:ind w:left="1803" w:hanging="1083"/>
      </w:pPr>
    </w:lvl>
    <w:lvl w:ilvl="3">
      <w:start w:val="1"/>
      <w:numFmt w:val="decimal"/>
      <w:lvlText w:val="%2.%3.%4"/>
      <w:lvlJc w:val="left"/>
      <w:pPr>
        <w:ind w:left="1803" w:hanging="1083"/>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92E38A3"/>
    <w:multiLevelType w:val="hybridMultilevel"/>
    <w:tmpl w:val="45B6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2568394">
    <w:abstractNumId w:val="5"/>
  </w:num>
  <w:num w:numId="2" w16cid:durableId="1883865073">
    <w:abstractNumId w:val="8"/>
  </w:num>
  <w:num w:numId="3" w16cid:durableId="368796848">
    <w:abstractNumId w:val="6"/>
  </w:num>
  <w:num w:numId="4" w16cid:durableId="1593081024">
    <w:abstractNumId w:val="3"/>
  </w:num>
  <w:num w:numId="5" w16cid:durableId="501513286">
    <w:abstractNumId w:val="0"/>
  </w:num>
  <w:num w:numId="6" w16cid:durableId="426392228">
    <w:abstractNumId w:val="7"/>
  </w:num>
  <w:num w:numId="7" w16cid:durableId="102045278">
    <w:abstractNumId w:val="9"/>
  </w:num>
  <w:num w:numId="8" w16cid:durableId="350838617">
    <w:abstractNumId w:val="10"/>
  </w:num>
  <w:num w:numId="9" w16cid:durableId="1247883161">
    <w:abstractNumId w:val="4"/>
  </w:num>
  <w:num w:numId="10" w16cid:durableId="1188829313">
    <w:abstractNumId w:val="4"/>
  </w:num>
  <w:num w:numId="11" w16cid:durableId="1323464183">
    <w:abstractNumId w:val="4"/>
  </w:num>
  <w:num w:numId="12" w16cid:durableId="20382386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36477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61658421">
    <w:abstractNumId w:val="2"/>
  </w:num>
  <w:num w:numId="15" w16cid:durableId="1376928425">
    <w:abstractNumId w:val="1"/>
  </w:num>
  <w:num w:numId="16" w16cid:durableId="16154019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rochetDocumentName" w:val="Mid-Tier Schedule 10 (Performance Levels) (Final Review).DOCX"/>
    <w:docVar w:name="gemDN1|GAYLEJ|25 July 2023 19:30:42" w:val="V2 - Amend TRK NV"/>
    <w:docVar w:name="gemDocNotesCount" w:val="1"/>
  </w:docVars>
  <w:rsids>
    <w:rsidRoot w:val="00CA079E"/>
    <w:rsid w:val="000068DB"/>
    <w:rsid w:val="0001687F"/>
    <w:rsid w:val="00022886"/>
    <w:rsid w:val="00034290"/>
    <w:rsid w:val="00043663"/>
    <w:rsid w:val="000701E6"/>
    <w:rsid w:val="00083F3D"/>
    <w:rsid w:val="000B5C11"/>
    <w:rsid w:val="000C0522"/>
    <w:rsid w:val="00101CFB"/>
    <w:rsid w:val="00102577"/>
    <w:rsid w:val="0011051A"/>
    <w:rsid w:val="0011443F"/>
    <w:rsid w:val="00114981"/>
    <w:rsid w:val="00132FDE"/>
    <w:rsid w:val="00135404"/>
    <w:rsid w:val="00146ACF"/>
    <w:rsid w:val="00147AB8"/>
    <w:rsid w:val="001755FF"/>
    <w:rsid w:val="001A13EE"/>
    <w:rsid w:val="001A6841"/>
    <w:rsid w:val="001C68E5"/>
    <w:rsid w:val="00254024"/>
    <w:rsid w:val="00284677"/>
    <w:rsid w:val="0028495C"/>
    <w:rsid w:val="00285233"/>
    <w:rsid w:val="00295413"/>
    <w:rsid w:val="002B423E"/>
    <w:rsid w:val="002C098E"/>
    <w:rsid w:val="002C5600"/>
    <w:rsid w:val="002D4FB1"/>
    <w:rsid w:val="002E1FCF"/>
    <w:rsid w:val="002E5DD2"/>
    <w:rsid w:val="00302F98"/>
    <w:rsid w:val="00303CB2"/>
    <w:rsid w:val="00303EE0"/>
    <w:rsid w:val="00321771"/>
    <w:rsid w:val="00345892"/>
    <w:rsid w:val="00356568"/>
    <w:rsid w:val="003B4F50"/>
    <w:rsid w:val="003C0BBD"/>
    <w:rsid w:val="003E2C32"/>
    <w:rsid w:val="00401E67"/>
    <w:rsid w:val="00425119"/>
    <w:rsid w:val="00467724"/>
    <w:rsid w:val="00471F44"/>
    <w:rsid w:val="00474F3D"/>
    <w:rsid w:val="004D07CD"/>
    <w:rsid w:val="004D1E7F"/>
    <w:rsid w:val="004F1664"/>
    <w:rsid w:val="0050634D"/>
    <w:rsid w:val="005127A9"/>
    <w:rsid w:val="00515F7D"/>
    <w:rsid w:val="00520D45"/>
    <w:rsid w:val="00524572"/>
    <w:rsid w:val="00541C33"/>
    <w:rsid w:val="00545572"/>
    <w:rsid w:val="0055238D"/>
    <w:rsid w:val="0055530D"/>
    <w:rsid w:val="00557D4E"/>
    <w:rsid w:val="00567409"/>
    <w:rsid w:val="00570635"/>
    <w:rsid w:val="005849CC"/>
    <w:rsid w:val="00586B6B"/>
    <w:rsid w:val="00587AFB"/>
    <w:rsid w:val="005C39AE"/>
    <w:rsid w:val="005C751C"/>
    <w:rsid w:val="005D21E8"/>
    <w:rsid w:val="00626983"/>
    <w:rsid w:val="00632765"/>
    <w:rsid w:val="00637481"/>
    <w:rsid w:val="006376A1"/>
    <w:rsid w:val="00646ADB"/>
    <w:rsid w:val="0066226F"/>
    <w:rsid w:val="00695B95"/>
    <w:rsid w:val="006D2031"/>
    <w:rsid w:val="006D60FB"/>
    <w:rsid w:val="006F4DA2"/>
    <w:rsid w:val="00701ED3"/>
    <w:rsid w:val="007248F9"/>
    <w:rsid w:val="00732A0A"/>
    <w:rsid w:val="007377FE"/>
    <w:rsid w:val="007415C8"/>
    <w:rsid w:val="00743B46"/>
    <w:rsid w:val="0076748B"/>
    <w:rsid w:val="00781EAC"/>
    <w:rsid w:val="00784915"/>
    <w:rsid w:val="007935A5"/>
    <w:rsid w:val="00796392"/>
    <w:rsid w:val="00801597"/>
    <w:rsid w:val="008475AA"/>
    <w:rsid w:val="00871568"/>
    <w:rsid w:val="0087195F"/>
    <w:rsid w:val="00873250"/>
    <w:rsid w:val="00876189"/>
    <w:rsid w:val="00881DF5"/>
    <w:rsid w:val="0088685B"/>
    <w:rsid w:val="008C34B3"/>
    <w:rsid w:val="008C4CB9"/>
    <w:rsid w:val="00912D64"/>
    <w:rsid w:val="0098040C"/>
    <w:rsid w:val="009820C5"/>
    <w:rsid w:val="009C11A0"/>
    <w:rsid w:val="009C3301"/>
    <w:rsid w:val="00A14E28"/>
    <w:rsid w:val="00A33A80"/>
    <w:rsid w:val="00A54C9A"/>
    <w:rsid w:val="00A621FD"/>
    <w:rsid w:val="00A721FA"/>
    <w:rsid w:val="00A7666C"/>
    <w:rsid w:val="00A81369"/>
    <w:rsid w:val="00A85B89"/>
    <w:rsid w:val="00A86307"/>
    <w:rsid w:val="00A91410"/>
    <w:rsid w:val="00A96E71"/>
    <w:rsid w:val="00AA4934"/>
    <w:rsid w:val="00AA778E"/>
    <w:rsid w:val="00AB3785"/>
    <w:rsid w:val="00AD7853"/>
    <w:rsid w:val="00AF1E19"/>
    <w:rsid w:val="00B072B6"/>
    <w:rsid w:val="00B14D50"/>
    <w:rsid w:val="00B43E8C"/>
    <w:rsid w:val="00B54538"/>
    <w:rsid w:val="00B621E3"/>
    <w:rsid w:val="00B64881"/>
    <w:rsid w:val="00BB7123"/>
    <w:rsid w:val="00BE4C99"/>
    <w:rsid w:val="00BE4D6A"/>
    <w:rsid w:val="00BE61DD"/>
    <w:rsid w:val="00BF0703"/>
    <w:rsid w:val="00BF239A"/>
    <w:rsid w:val="00C01161"/>
    <w:rsid w:val="00C02E15"/>
    <w:rsid w:val="00C0489A"/>
    <w:rsid w:val="00C237C7"/>
    <w:rsid w:val="00C56D01"/>
    <w:rsid w:val="00C96140"/>
    <w:rsid w:val="00CA079E"/>
    <w:rsid w:val="00CA38BC"/>
    <w:rsid w:val="00CA757A"/>
    <w:rsid w:val="00CD150F"/>
    <w:rsid w:val="00CD7298"/>
    <w:rsid w:val="00CE03AC"/>
    <w:rsid w:val="00CE121F"/>
    <w:rsid w:val="00CE2822"/>
    <w:rsid w:val="00D12C11"/>
    <w:rsid w:val="00D15C13"/>
    <w:rsid w:val="00D30F8F"/>
    <w:rsid w:val="00D358CF"/>
    <w:rsid w:val="00D6282E"/>
    <w:rsid w:val="00D62B1F"/>
    <w:rsid w:val="00D6377D"/>
    <w:rsid w:val="00D701F3"/>
    <w:rsid w:val="00D769B2"/>
    <w:rsid w:val="00D93B75"/>
    <w:rsid w:val="00DD39A3"/>
    <w:rsid w:val="00DE3D8A"/>
    <w:rsid w:val="00E3145A"/>
    <w:rsid w:val="00E3748B"/>
    <w:rsid w:val="00E51E5F"/>
    <w:rsid w:val="00E73E7F"/>
    <w:rsid w:val="00E77AE1"/>
    <w:rsid w:val="00E9551F"/>
    <w:rsid w:val="00EA171A"/>
    <w:rsid w:val="00EE3C95"/>
    <w:rsid w:val="00EF4697"/>
    <w:rsid w:val="00F15ED2"/>
    <w:rsid w:val="00F23A6C"/>
    <w:rsid w:val="00F36489"/>
    <w:rsid w:val="00F52A63"/>
    <w:rsid w:val="00F55CAF"/>
    <w:rsid w:val="00F64178"/>
    <w:rsid w:val="00F94D74"/>
    <w:rsid w:val="00FA3C2A"/>
    <w:rsid w:val="00FC5A34"/>
    <w:rsid w:val="00FC7FD8"/>
    <w:rsid w:val="021C044A"/>
    <w:rsid w:val="03A827A9"/>
    <w:rsid w:val="063C0B3D"/>
    <w:rsid w:val="0CA35561"/>
    <w:rsid w:val="1AE049F1"/>
    <w:rsid w:val="21D54E55"/>
    <w:rsid w:val="3C1A3E35"/>
    <w:rsid w:val="419CC518"/>
    <w:rsid w:val="4677714F"/>
    <w:rsid w:val="4B261A08"/>
    <w:rsid w:val="4FF0750D"/>
    <w:rsid w:val="57D1F290"/>
    <w:rsid w:val="6ABAF91A"/>
    <w:rsid w:val="6B2C3B10"/>
    <w:rsid w:val="78031A2C"/>
    <w:rsid w:val="7901602A"/>
    <w:rsid w:val="7C8440E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62A02"/>
  <w15:docId w15:val="{888C3009-1453-47BA-80FB-5A2D9F70E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BC4"/>
    <w:rPr>
      <w:rFonts w:eastAsia="Calibri" w:cs="Times New Roman"/>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Emphasis">
    <w:name w:val="Emphasis"/>
    <w:basedOn w:val="DefaultParagraphFont"/>
    <w:rPr>
      <w:i/>
      <w:iCs/>
    </w:rPr>
  </w:style>
  <w:style w:type="paragraph" w:customStyle="1" w:styleId="GPSL1CLAUSEHEADING">
    <w:name w:val="GPS L1 CLAUSE HEADING"/>
    <w:basedOn w:val="Normal"/>
    <w:next w:val="Normal"/>
    <w:link w:val="GPSL1CLAUSEHEADINGChar"/>
    <w:qFormat/>
    <w:rsid w:val="00135404"/>
    <w:pPr>
      <w:keepNext/>
      <w:numPr>
        <w:numId w:val="11"/>
      </w:numPr>
      <w:tabs>
        <w:tab w:val="left" w:pos="142"/>
      </w:tabs>
      <w:adjustRightInd w:val="0"/>
      <w:spacing w:before="240" w:after="120" w:line="240" w:lineRule="auto"/>
      <w:outlineLvl w:val="1"/>
    </w:pPr>
    <w:rPr>
      <w:rFonts w:ascii="Arial Bold" w:eastAsia="STZhongsong" w:hAnsi="Arial Bold" w:cs="Arial"/>
      <w:b/>
      <w:szCs w:val="22"/>
      <w:lang w:eastAsia="zh-CN"/>
    </w:rPr>
  </w:style>
  <w:style w:type="paragraph" w:customStyle="1" w:styleId="GPSL3numberedclause">
    <w:name w:val="GPS L3 numbered clause"/>
    <w:basedOn w:val="Normal"/>
    <w:link w:val="GPSL3numberedclauseChar"/>
    <w:qFormat/>
    <w:rsid w:val="00135404"/>
    <w:pPr>
      <w:numPr>
        <w:ilvl w:val="2"/>
        <w:numId w:val="11"/>
      </w:numPr>
      <w:adjustRightInd w:val="0"/>
      <w:spacing w:before="120" w:after="120" w:line="240" w:lineRule="auto"/>
    </w:pPr>
    <w:rPr>
      <w:rFonts w:eastAsia="Times New Roman" w:cs="Arial"/>
      <w:szCs w:val="22"/>
      <w:lang w:eastAsia="zh-CN"/>
    </w:rPr>
  </w:style>
  <w:style w:type="paragraph" w:customStyle="1" w:styleId="GPSL4numberedclause">
    <w:name w:val="GPS L4 numbered clause"/>
    <w:basedOn w:val="GPSL3numberedclause"/>
    <w:link w:val="GPSL4numberedclauseChar"/>
    <w:qFormat/>
    <w:pPr>
      <w:numPr>
        <w:ilvl w:val="3"/>
      </w:numPr>
    </w:pPr>
  </w:style>
  <w:style w:type="paragraph" w:customStyle="1" w:styleId="GPSL5numberedclause">
    <w:name w:val="GPS L5 numbered clause"/>
    <w:basedOn w:val="GPSL4numberedclause"/>
    <w:link w:val="GPSL5numberedclauseChar"/>
    <w:qFormat/>
    <w:pPr>
      <w:numPr>
        <w:ilvl w:val="4"/>
        <w:numId w:val="0"/>
      </w:numPr>
    </w:pPr>
  </w:style>
  <w:style w:type="paragraph" w:customStyle="1" w:styleId="GPSL2NumberedBoldHeading">
    <w:name w:val="GPS L2 Numbered Bold Heading"/>
    <w:basedOn w:val="Normal"/>
    <w:qFormat/>
    <w:rsid w:val="00915547"/>
    <w:pPr>
      <w:numPr>
        <w:ilvl w:val="1"/>
        <w:numId w:val="1"/>
      </w:numPr>
      <w:adjustRightInd w:val="0"/>
      <w:spacing w:before="120" w:after="120" w:line="240" w:lineRule="auto"/>
    </w:pPr>
    <w:rPr>
      <w:rFonts w:eastAsia="Times New Roman" w:cs="Arial"/>
      <w:lang w:eastAsia="zh-CN"/>
    </w:rPr>
  </w:style>
  <w:style w:type="paragraph" w:customStyle="1" w:styleId="GPSL6numbered">
    <w:name w:val="GPS L6 numbered"/>
    <w:basedOn w:val="GPSL5numberedclause"/>
    <w:qFormat/>
    <w:pPr>
      <w:numPr>
        <w:ilvl w:val="5"/>
      </w:numPr>
      <w:tabs>
        <w:tab w:val="num" w:pos="360"/>
        <w:tab w:val="left" w:pos="3686"/>
      </w:tabs>
      <w:ind w:left="3686" w:hanging="567"/>
    </w:pPr>
  </w:style>
  <w:style w:type="character" w:customStyle="1" w:styleId="GPSL3numberedclauseChar">
    <w:name w:val="GPS L3 numbered clause Char"/>
    <w:link w:val="GPSL3numberedclause"/>
    <w:locked/>
    <w:rsid w:val="00135404"/>
    <w:rPr>
      <w:rFonts w:eastAsia="Times New Roman"/>
      <w:szCs w:val="22"/>
      <w:lang w:eastAsia="zh-CN"/>
    </w:rPr>
  </w:style>
  <w:style w:type="paragraph" w:customStyle="1" w:styleId="GPSL2numberedclause">
    <w:name w:val="GPS L2 numbered clause"/>
    <w:basedOn w:val="Normal"/>
    <w:link w:val="GPSL2numberedclauseChar1"/>
    <w:qFormat/>
    <w:rsid w:val="00135404"/>
    <w:pPr>
      <w:numPr>
        <w:ilvl w:val="1"/>
        <w:numId w:val="11"/>
      </w:numPr>
      <w:tabs>
        <w:tab w:val="left" w:pos="1134"/>
      </w:tabs>
      <w:adjustRightInd w:val="0"/>
      <w:spacing w:before="120" w:after="120" w:line="240" w:lineRule="auto"/>
    </w:pPr>
    <w:rPr>
      <w:rFonts w:eastAsia="Times New Roman" w:cs="Arial"/>
      <w:szCs w:val="22"/>
      <w:lang w:eastAsia="zh-CN"/>
    </w:rPr>
  </w:style>
  <w:style w:type="character" w:customStyle="1" w:styleId="GPSL2numberedclauseChar1">
    <w:name w:val="GPS L2 numbered clause Char1"/>
    <w:link w:val="GPSL2numberedclause"/>
    <w:rsid w:val="00135404"/>
    <w:rPr>
      <w:rFonts w:eastAsia="Times New Roman"/>
      <w:szCs w:val="22"/>
      <w:lang w:eastAsia="zh-CN"/>
    </w:rPr>
  </w:style>
  <w:style w:type="character" w:customStyle="1" w:styleId="GPSL4numberedclauseChar">
    <w:name w:val="GPS L4 numbered clause Char"/>
    <w:link w:val="GPSL4numberedclause"/>
    <w:rPr>
      <w:rFonts w:ascii="Calibri" w:eastAsia="Times New Roman" w:hAnsi="Calibri" w:cs="Arial"/>
      <w:lang w:eastAsia="zh-CN"/>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rPr>
  </w:style>
  <w:style w:type="paragraph" w:customStyle="1" w:styleId="GPSmacrorestart">
    <w:name w:val="GPS macro restart"/>
    <w:basedOn w:val="Normal"/>
    <w:qFormat/>
    <w:pPr>
      <w:overflowPunct w:val="0"/>
      <w:autoSpaceDE w:val="0"/>
      <w:autoSpaceDN w:val="0"/>
      <w:adjustRightInd w:val="0"/>
      <w:spacing w:after="0" w:line="240" w:lineRule="auto"/>
      <w:jc w:val="both"/>
      <w:textAlignment w:val="baseline"/>
    </w:pPr>
    <w:rPr>
      <w:rFonts w:eastAsia="Times New Roman" w:cs="Arial"/>
      <w:color w:val="FFFFFF"/>
      <w:sz w:val="16"/>
      <w:szCs w:val="16"/>
    </w:rPr>
  </w:style>
  <w:style w:type="character" w:customStyle="1" w:styleId="GPSL1CLAUSEHEADINGChar">
    <w:name w:val="GPS L1 CLAUSE HEADING Char"/>
    <w:link w:val="GPSL1CLAUSEHEADING"/>
    <w:rsid w:val="00135404"/>
    <w:rPr>
      <w:rFonts w:ascii="Arial Bold" w:eastAsia="STZhongsong" w:hAnsi="Arial Bold"/>
      <w:b/>
      <w:szCs w:val="22"/>
      <w:lang w:eastAsia="zh-CN"/>
    </w:rPr>
  </w:style>
  <w:style w:type="paragraph" w:customStyle="1" w:styleId="GPSSchTitleandNumber">
    <w:name w:val="GPS Sch Title and Number"/>
    <w:basedOn w:val="Normal"/>
    <w:link w:val="GPSSchTitleandNumberChar"/>
    <w:qFormat/>
    <w:pPr>
      <w:keepNext/>
      <w:adjustRightInd w:val="0"/>
      <w:spacing w:after="240" w:line="240" w:lineRule="auto"/>
      <w:jc w:val="center"/>
      <w:outlineLvl w:val="0"/>
    </w:pPr>
    <w:rPr>
      <w:rFonts w:ascii="Arial Bold" w:eastAsia="STZhongsong" w:hAnsi="Arial Bold"/>
      <w:b/>
      <w:caps/>
      <w:lang w:eastAsia="zh-CN"/>
    </w:rPr>
  </w:style>
  <w:style w:type="character" w:customStyle="1" w:styleId="GPSSchTitleandNumberChar">
    <w:name w:val="GPS Sch Title and Number Char"/>
    <w:link w:val="GPSSchTitleandNumber"/>
    <w:rPr>
      <w:rFonts w:ascii="Arial Bold" w:eastAsia="STZhongsong" w:hAnsi="Arial Bold" w:cs="Times New Roman"/>
      <w:b/>
      <w:caps/>
      <w:lang w:eastAsia="zh-CN"/>
    </w:rPr>
  </w:style>
  <w:style w:type="paragraph" w:customStyle="1" w:styleId="GPsDefinition">
    <w:name w:val="GPs Definition"/>
    <w:basedOn w:val="Normal"/>
    <w:qFormat/>
    <w:pPr>
      <w:numPr>
        <w:numId w:val="2"/>
      </w:numPr>
      <w:tabs>
        <w:tab w:val="left" w:pos="-9"/>
      </w:tabs>
      <w:overflowPunct w:val="0"/>
      <w:autoSpaceDE w:val="0"/>
      <w:autoSpaceDN w:val="0"/>
      <w:adjustRightInd w:val="0"/>
      <w:spacing w:after="120" w:line="240" w:lineRule="auto"/>
      <w:jc w:val="both"/>
      <w:textAlignment w:val="baseline"/>
    </w:pPr>
    <w:rPr>
      <w:rFonts w:eastAsia="Times New Roman" w:cs="Arial"/>
    </w:rPr>
  </w:style>
  <w:style w:type="paragraph" w:customStyle="1" w:styleId="GPSDefinitionL2">
    <w:name w:val="GPS Definition L2"/>
    <w:basedOn w:val="GPsDefinition"/>
    <w:qFormat/>
    <w:pPr>
      <w:numPr>
        <w:ilvl w:val="1"/>
      </w:numPr>
      <w:tabs>
        <w:tab w:val="clear" w:pos="-9"/>
        <w:tab w:val="left" w:pos="144"/>
      </w:tabs>
      <w:ind w:hanging="545"/>
    </w:pPr>
  </w:style>
  <w:style w:type="paragraph" w:customStyle="1" w:styleId="GPSDefinitionL3">
    <w:name w:val="GPS Definition L3"/>
    <w:basedOn w:val="GPSDefinitionL2"/>
    <w:qFormat/>
    <w:pPr>
      <w:numPr>
        <w:ilvl w:val="2"/>
      </w:numPr>
    </w:pPr>
  </w:style>
  <w:style w:type="paragraph" w:customStyle="1" w:styleId="GPSDefinitionL4">
    <w:name w:val="GPS Definition L4"/>
    <w:basedOn w:val="GPSDefinitionL3"/>
    <w:qFormat/>
    <w:pPr>
      <w:numPr>
        <w:ilvl w:val="3"/>
      </w:numPr>
    </w:pPr>
  </w:style>
  <w:style w:type="paragraph" w:customStyle="1" w:styleId="GPSSchAnnexname">
    <w:name w:val="GPS Sch Annex name"/>
    <w:basedOn w:val="GPSSchTitleandNumber"/>
    <w:link w:val="GPSSchAnnexnameChar"/>
    <w:qFormat/>
    <w:pPr>
      <w:outlineLvl w:val="1"/>
    </w:pPr>
    <w:rPr>
      <w:rFonts w:ascii="Calibri" w:hAnsi="Calibri"/>
      <w:sz w:val="20"/>
    </w:rPr>
  </w:style>
  <w:style w:type="paragraph" w:customStyle="1" w:styleId="GPSL1SCHEDULEHeading">
    <w:name w:val="GPS L1 SCHEDULE Heading"/>
    <w:basedOn w:val="GPSL1CLAUSEHEADING"/>
    <w:link w:val="GPSL1SCHEDULEHeadingChar"/>
    <w:qFormat/>
    <w:pPr>
      <w:numPr>
        <w:numId w:val="0"/>
      </w:numPr>
      <w:tabs>
        <w:tab w:val="left" w:pos="0"/>
      </w:tabs>
      <w:ind w:left="360" w:hanging="360"/>
      <w:outlineLvl w:val="9"/>
    </w:pPr>
  </w:style>
  <w:style w:type="character" w:customStyle="1" w:styleId="GPSSchAnnexnameChar">
    <w:name w:val="GPS Sch Annex name Char"/>
    <w:link w:val="GPSSchAnnexname"/>
    <w:rPr>
      <w:rFonts w:ascii="Calibri" w:eastAsia="STZhongsong" w:hAnsi="Calibri" w:cs="Times New Roman"/>
      <w:b/>
      <w:caps/>
      <w:sz w:val="20"/>
      <w:lang w:eastAsia="zh-CN"/>
    </w:rPr>
  </w:style>
  <w:style w:type="paragraph" w:customStyle="1" w:styleId="GPSSchPart">
    <w:name w:val="GPS Sch Part"/>
    <w:basedOn w:val="GPSSchAnnexname"/>
    <w:link w:val="GPSSchPartChar"/>
    <w:qFormat/>
    <w:pPr>
      <w:outlineLvl w:val="9"/>
    </w:pPr>
  </w:style>
  <w:style w:type="character" w:customStyle="1" w:styleId="GPSL1SCHEDULEHeadingChar">
    <w:name w:val="GPS L1 SCHEDULE Heading Char"/>
    <w:link w:val="GPSL1SCHEDULEHeading"/>
    <w:rPr>
      <w:rFonts w:ascii="Calibri" w:eastAsia="STZhongsong" w:hAnsi="Calibri" w:cs="Arial"/>
      <w:b/>
      <w:caps/>
      <w:lang w:eastAsia="zh-CN"/>
    </w:rPr>
  </w:style>
  <w:style w:type="character" w:customStyle="1" w:styleId="GPSSchPartChar">
    <w:name w:val="GPS Sch Part Char"/>
    <w:link w:val="GPSSchPart"/>
    <w:rPr>
      <w:rFonts w:ascii="Calibri" w:eastAsia="STZhongsong" w:hAnsi="Calibri" w:cs="Times New Roman"/>
      <w:b/>
      <w:caps/>
      <w:sz w:val="20"/>
      <w:lang w:eastAsia="zh-CN"/>
    </w:rPr>
  </w:style>
  <w:style w:type="paragraph" w:styleId="BodyTextIndent">
    <w:name w:val="Body Text Indent"/>
    <w:basedOn w:val="Normal"/>
    <w:link w:val="BodyTextIndentChar"/>
    <w:pPr>
      <w:numPr>
        <w:numId w:val="5"/>
      </w:numPr>
      <w:adjustRightInd w:val="0"/>
      <w:spacing w:after="240" w:line="240" w:lineRule="auto"/>
      <w:jc w:val="both"/>
    </w:pPr>
    <w:rPr>
      <w:rFonts w:eastAsia="Times New Roman"/>
      <w:lang w:eastAsia="zh-CN"/>
    </w:rPr>
  </w:style>
  <w:style w:type="character" w:customStyle="1" w:styleId="BodyTextIndentChar">
    <w:name w:val="Body Text Indent Char"/>
    <w:basedOn w:val="DefaultParagraphFont"/>
    <w:link w:val="BodyTextIndent"/>
    <w:rPr>
      <w:rFonts w:ascii="Calibri" w:eastAsia="Times New Roman" w:hAnsi="Calibri" w:cs="Times New Roman"/>
      <w:lang w:eastAsia="zh-CN"/>
    </w:rPr>
  </w:style>
  <w:style w:type="character" w:customStyle="1" w:styleId="GPSL5numberedclauseChar">
    <w:name w:val="GPS L5 numbered clause Char"/>
    <w:link w:val="GPSL5numberedclause"/>
    <w:locked/>
    <w:rPr>
      <w:rFonts w:ascii="Calibri" w:eastAsia="Times New Roman" w:hAnsi="Calibri" w:cs="Arial"/>
      <w:lang w:eastAsia="zh-CN"/>
    </w:rPr>
  </w:style>
  <w:style w:type="paragraph" w:customStyle="1" w:styleId="GPSL2Indent">
    <w:name w:val="GPS L2 Indent"/>
    <w:basedOn w:val="Normal"/>
    <w:link w:val="GPSL2IndentChar"/>
    <w:qFormat/>
    <w:pPr>
      <w:tabs>
        <w:tab w:val="left" w:pos="3402"/>
      </w:tabs>
      <w:overflowPunct w:val="0"/>
      <w:autoSpaceDE w:val="0"/>
      <w:autoSpaceDN w:val="0"/>
      <w:adjustRightInd w:val="0"/>
      <w:spacing w:after="220" w:line="240" w:lineRule="auto"/>
      <w:ind w:left="1134"/>
      <w:jc w:val="both"/>
      <w:textAlignment w:val="baseline"/>
    </w:pPr>
    <w:rPr>
      <w:rFonts w:eastAsia="Times New Roman" w:cs="Arial"/>
    </w:rPr>
  </w:style>
  <w:style w:type="character" w:customStyle="1" w:styleId="GPSL2IndentChar">
    <w:name w:val="GPS L2 Indent Char"/>
    <w:link w:val="GPSL2Indent"/>
    <w:rPr>
      <w:rFonts w:ascii="Calibri" w:eastAsia="Times New Roman" w:hAnsi="Calibri" w:cs="Arial"/>
      <w:szCs w:val="24"/>
    </w:rPr>
  </w:style>
  <w:style w:type="paragraph" w:customStyle="1" w:styleId="GPSDefinitionTerm">
    <w:name w:val="GPS Definition Term"/>
    <w:basedOn w:val="Normal"/>
    <w:qFormat/>
    <w:pPr>
      <w:overflowPunct w:val="0"/>
      <w:autoSpaceDE w:val="0"/>
      <w:autoSpaceDN w:val="0"/>
      <w:adjustRightInd w:val="0"/>
      <w:spacing w:after="120" w:line="240" w:lineRule="auto"/>
      <w:ind w:left="-108"/>
      <w:textAlignment w:val="baseline"/>
    </w:pPr>
    <w:rPr>
      <w:rFonts w:eastAsia="Times New Roman" w:cs="Arial"/>
      <w:b/>
    </w:rPr>
  </w:style>
  <w:style w:type="table" w:styleId="TableGrid">
    <w:name w:val="Table Grid"/>
    <w:basedOn w:val="TableNormal"/>
    <w:uiPriority w:val="59"/>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rFonts w:ascii="Calibri" w:eastAsia="Calibri" w:hAnsi="Calibri" w:cs="Times New Roman"/>
      <w:sz w:val="20"/>
      <w:szCs w:val="20"/>
    </w:rPr>
  </w:style>
  <w:style w:type="character" w:styleId="FootnoteReference">
    <w:name w:val="footnote reference"/>
    <w:basedOn w:val="DefaultParagraphFont"/>
    <w:uiPriority w:val="99"/>
    <w:semiHidden/>
    <w:unhideWhenUsed/>
    <w:rPr>
      <w:vertAlign w:val="superscript"/>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customStyle="1" w:styleId="DefinitionNumbering1">
    <w:name w:val="Definition Numbering 1"/>
    <w:basedOn w:val="Normal"/>
    <w:pPr>
      <w:adjustRightInd w:val="0"/>
      <w:spacing w:after="240" w:line="240" w:lineRule="auto"/>
      <w:jc w:val="both"/>
      <w:outlineLvl w:val="0"/>
    </w:pPr>
    <w:rPr>
      <w:rFonts w:ascii="Times New Roman" w:eastAsia="STZhongsong" w:hAnsi="Times New Roman"/>
      <w:szCs w:val="20"/>
      <w:lang w:eastAsia="zh-CN"/>
    </w:rPr>
  </w:style>
  <w:style w:type="paragraph" w:styleId="Revision">
    <w:name w:val="Revision"/>
    <w:hidden/>
    <w:uiPriority w:val="99"/>
    <w:semiHidden/>
    <w:rsid w:val="00CB349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A7838"/>
    <w:rPr>
      <w:color w:val="0000FF" w:themeColor="hyperlink"/>
      <w:u w:val="single"/>
    </w:rPr>
  </w:style>
  <w:style w:type="character" w:customStyle="1" w:styleId="UnresolvedMention1">
    <w:name w:val="Unresolved Mention1"/>
    <w:basedOn w:val="DefaultParagraphFont"/>
    <w:uiPriority w:val="99"/>
    <w:semiHidden/>
    <w:unhideWhenUsed/>
    <w:rsid w:val="009A7838"/>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303EE0"/>
    <w:pPr>
      <w:ind w:left="720"/>
      <w:contextualSpacing/>
    </w:pPr>
  </w:style>
  <w:style w:type="character" w:styleId="UnresolvedMention">
    <w:name w:val="Unresolved Mention"/>
    <w:basedOn w:val="DefaultParagraphFont"/>
    <w:uiPriority w:val="99"/>
    <w:semiHidden/>
    <w:unhideWhenUsed/>
    <w:rsid w:val="00F94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439494">
      <w:bodyDiv w:val="1"/>
      <w:marLeft w:val="0"/>
      <w:marRight w:val="0"/>
      <w:marTop w:val="0"/>
      <w:marBottom w:val="0"/>
      <w:divBdr>
        <w:top w:val="none" w:sz="0" w:space="0" w:color="auto"/>
        <w:left w:val="none" w:sz="0" w:space="0" w:color="auto"/>
        <w:bottom w:val="none" w:sz="0" w:space="0" w:color="auto"/>
        <w:right w:val="none" w:sz="0" w:space="0" w:color="auto"/>
      </w:divBdr>
    </w:div>
    <w:div w:id="285157713">
      <w:bodyDiv w:val="1"/>
      <w:marLeft w:val="0"/>
      <w:marRight w:val="0"/>
      <w:marTop w:val="0"/>
      <w:marBottom w:val="0"/>
      <w:divBdr>
        <w:top w:val="none" w:sz="0" w:space="0" w:color="auto"/>
        <w:left w:val="none" w:sz="0" w:space="0" w:color="auto"/>
        <w:bottom w:val="none" w:sz="0" w:space="0" w:color="auto"/>
        <w:right w:val="none" w:sz="0" w:space="0" w:color="auto"/>
      </w:divBdr>
    </w:div>
    <w:div w:id="440993980">
      <w:bodyDiv w:val="1"/>
      <w:marLeft w:val="0"/>
      <w:marRight w:val="0"/>
      <w:marTop w:val="0"/>
      <w:marBottom w:val="0"/>
      <w:divBdr>
        <w:top w:val="none" w:sz="0" w:space="0" w:color="auto"/>
        <w:left w:val="none" w:sz="0" w:space="0" w:color="auto"/>
        <w:bottom w:val="none" w:sz="0" w:space="0" w:color="auto"/>
        <w:right w:val="none" w:sz="0" w:space="0" w:color="auto"/>
      </w:divBdr>
    </w:div>
    <w:div w:id="578635009">
      <w:bodyDiv w:val="1"/>
      <w:marLeft w:val="0"/>
      <w:marRight w:val="0"/>
      <w:marTop w:val="0"/>
      <w:marBottom w:val="0"/>
      <w:divBdr>
        <w:top w:val="none" w:sz="0" w:space="0" w:color="auto"/>
        <w:left w:val="none" w:sz="0" w:space="0" w:color="auto"/>
        <w:bottom w:val="none" w:sz="0" w:space="0" w:color="auto"/>
        <w:right w:val="none" w:sz="0" w:space="0" w:color="auto"/>
      </w:divBdr>
    </w:div>
    <w:div w:id="583606900">
      <w:bodyDiv w:val="1"/>
      <w:marLeft w:val="0"/>
      <w:marRight w:val="0"/>
      <w:marTop w:val="0"/>
      <w:marBottom w:val="0"/>
      <w:divBdr>
        <w:top w:val="none" w:sz="0" w:space="0" w:color="auto"/>
        <w:left w:val="none" w:sz="0" w:space="0" w:color="auto"/>
        <w:bottom w:val="none" w:sz="0" w:space="0" w:color="auto"/>
        <w:right w:val="none" w:sz="0" w:space="0" w:color="auto"/>
      </w:divBdr>
    </w:div>
    <w:div w:id="606425841">
      <w:bodyDiv w:val="1"/>
      <w:marLeft w:val="0"/>
      <w:marRight w:val="0"/>
      <w:marTop w:val="0"/>
      <w:marBottom w:val="0"/>
      <w:divBdr>
        <w:top w:val="none" w:sz="0" w:space="0" w:color="auto"/>
        <w:left w:val="none" w:sz="0" w:space="0" w:color="auto"/>
        <w:bottom w:val="none" w:sz="0" w:space="0" w:color="auto"/>
        <w:right w:val="none" w:sz="0" w:space="0" w:color="auto"/>
      </w:divBdr>
    </w:div>
    <w:div w:id="863132057">
      <w:bodyDiv w:val="1"/>
      <w:marLeft w:val="0"/>
      <w:marRight w:val="0"/>
      <w:marTop w:val="0"/>
      <w:marBottom w:val="0"/>
      <w:divBdr>
        <w:top w:val="none" w:sz="0" w:space="0" w:color="auto"/>
        <w:left w:val="none" w:sz="0" w:space="0" w:color="auto"/>
        <w:bottom w:val="none" w:sz="0" w:space="0" w:color="auto"/>
        <w:right w:val="none" w:sz="0" w:space="0" w:color="auto"/>
      </w:divBdr>
    </w:div>
    <w:div w:id="1014115332">
      <w:bodyDiv w:val="1"/>
      <w:marLeft w:val="0"/>
      <w:marRight w:val="0"/>
      <w:marTop w:val="0"/>
      <w:marBottom w:val="0"/>
      <w:divBdr>
        <w:top w:val="none" w:sz="0" w:space="0" w:color="auto"/>
        <w:left w:val="none" w:sz="0" w:space="0" w:color="auto"/>
        <w:bottom w:val="none" w:sz="0" w:space="0" w:color="auto"/>
        <w:right w:val="none" w:sz="0" w:space="0" w:color="auto"/>
      </w:divBdr>
    </w:div>
    <w:div w:id="1045567465">
      <w:bodyDiv w:val="1"/>
      <w:marLeft w:val="0"/>
      <w:marRight w:val="0"/>
      <w:marTop w:val="0"/>
      <w:marBottom w:val="0"/>
      <w:divBdr>
        <w:top w:val="none" w:sz="0" w:space="0" w:color="auto"/>
        <w:left w:val="none" w:sz="0" w:space="0" w:color="auto"/>
        <w:bottom w:val="none" w:sz="0" w:space="0" w:color="auto"/>
        <w:right w:val="none" w:sz="0" w:space="0" w:color="auto"/>
      </w:divBdr>
    </w:div>
    <w:div w:id="1053892560">
      <w:bodyDiv w:val="1"/>
      <w:marLeft w:val="0"/>
      <w:marRight w:val="0"/>
      <w:marTop w:val="0"/>
      <w:marBottom w:val="0"/>
      <w:divBdr>
        <w:top w:val="none" w:sz="0" w:space="0" w:color="auto"/>
        <w:left w:val="none" w:sz="0" w:space="0" w:color="auto"/>
        <w:bottom w:val="none" w:sz="0" w:space="0" w:color="auto"/>
        <w:right w:val="none" w:sz="0" w:space="0" w:color="auto"/>
      </w:divBdr>
    </w:div>
    <w:div w:id="1139151806">
      <w:bodyDiv w:val="1"/>
      <w:marLeft w:val="0"/>
      <w:marRight w:val="0"/>
      <w:marTop w:val="0"/>
      <w:marBottom w:val="0"/>
      <w:divBdr>
        <w:top w:val="none" w:sz="0" w:space="0" w:color="auto"/>
        <w:left w:val="none" w:sz="0" w:space="0" w:color="auto"/>
        <w:bottom w:val="none" w:sz="0" w:space="0" w:color="auto"/>
        <w:right w:val="none" w:sz="0" w:space="0" w:color="auto"/>
      </w:divBdr>
    </w:div>
    <w:div w:id="1204441033">
      <w:bodyDiv w:val="1"/>
      <w:marLeft w:val="0"/>
      <w:marRight w:val="0"/>
      <w:marTop w:val="0"/>
      <w:marBottom w:val="0"/>
      <w:divBdr>
        <w:top w:val="none" w:sz="0" w:space="0" w:color="auto"/>
        <w:left w:val="none" w:sz="0" w:space="0" w:color="auto"/>
        <w:bottom w:val="none" w:sz="0" w:space="0" w:color="auto"/>
        <w:right w:val="none" w:sz="0" w:space="0" w:color="auto"/>
      </w:divBdr>
    </w:div>
    <w:div w:id="1385330639">
      <w:bodyDiv w:val="1"/>
      <w:marLeft w:val="0"/>
      <w:marRight w:val="0"/>
      <w:marTop w:val="0"/>
      <w:marBottom w:val="0"/>
      <w:divBdr>
        <w:top w:val="none" w:sz="0" w:space="0" w:color="auto"/>
        <w:left w:val="none" w:sz="0" w:space="0" w:color="auto"/>
        <w:bottom w:val="none" w:sz="0" w:space="0" w:color="auto"/>
        <w:right w:val="none" w:sz="0" w:space="0" w:color="auto"/>
      </w:divBdr>
    </w:div>
    <w:div w:id="1406299922">
      <w:bodyDiv w:val="1"/>
      <w:marLeft w:val="0"/>
      <w:marRight w:val="0"/>
      <w:marTop w:val="0"/>
      <w:marBottom w:val="0"/>
      <w:divBdr>
        <w:top w:val="none" w:sz="0" w:space="0" w:color="auto"/>
        <w:left w:val="none" w:sz="0" w:space="0" w:color="auto"/>
        <w:bottom w:val="none" w:sz="0" w:space="0" w:color="auto"/>
        <w:right w:val="none" w:sz="0" w:space="0" w:color="auto"/>
      </w:divBdr>
    </w:div>
    <w:div w:id="1741051270">
      <w:bodyDiv w:val="1"/>
      <w:marLeft w:val="0"/>
      <w:marRight w:val="0"/>
      <w:marTop w:val="0"/>
      <w:marBottom w:val="0"/>
      <w:divBdr>
        <w:top w:val="none" w:sz="0" w:space="0" w:color="auto"/>
        <w:left w:val="none" w:sz="0" w:space="0" w:color="auto"/>
        <w:bottom w:val="none" w:sz="0" w:space="0" w:color="auto"/>
        <w:right w:val="none" w:sz="0" w:space="0" w:color="auto"/>
      </w:divBdr>
    </w:div>
    <w:div w:id="1746876886">
      <w:bodyDiv w:val="1"/>
      <w:marLeft w:val="0"/>
      <w:marRight w:val="0"/>
      <w:marTop w:val="0"/>
      <w:marBottom w:val="0"/>
      <w:divBdr>
        <w:top w:val="none" w:sz="0" w:space="0" w:color="auto"/>
        <w:left w:val="none" w:sz="0" w:space="0" w:color="auto"/>
        <w:bottom w:val="none" w:sz="0" w:space="0" w:color="auto"/>
        <w:right w:val="none" w:sz="0" w:space="0" w:color="auto"/>
      </w:divBdr>
    </w:div>
    <w:div w:id="2043703234">
      <w:bodyDiv w:val="1"/>
      <w:marLeft w:val="0"/>
      <w:marRight w:val="0"/>
      <w:marTop w:val="0"/>
      <w:marBottom w:val="0"/>
      <w:divBdr>
        <w:top w:val="none" w:sz="0" w:space="0" w:color="auto"/>
        <w:left w:val="none" w:sz="0" w:space="0" w:color="auto"/>
        <w:bottom w:val="none" w:sz="0" w:space="0" w:color="auto"/>
        <w:right w:val="none" w:sz="0" w:space="0" w:color="auto"/>
      </w:divBdr>
    </w:div>
    <w:div w:id="2047411897">
      <w:bodyDiv w:val="1"/>
      <w:marLeft w:val="0"/>
      <w:marRight w:val="0"/>
      <w:marTop w:val="0"/>
      <w:marBottom w:val="0"/>
      <w:divBdr>
        <w:top w:val="none" w:sz="0" w:space="0" w:color="auto"/>
        <w:left w:val="none" w:sz="0" w:space="0" w:color="auto"/>
        <w:bottom w:val="none" w:sz="0" w:space="0" w:color="auto"/>
        <w:right w:val="none" w:sz="0" w:space="0" w:color="auto"/>
      </w:divBdr>
    </w:div>
    <w:div w:id="2052877563">
      <w:bodyDiv w:val="1"/>
      <w:marLeft w:val="0"/>
      <w:marRight w:val="0"/>
      <w:marTop w:val="0"/>
      <w:marBottom w:val="0"/>
      <w:divBdr>
        <w:top w:val="none" w:sz="0" w:space="0" w:color="auto"/>
        <w:left w:val="none" w:sz="0" w:space="0" w:color="auto"/>
        <w:bottom w:val="none" w:sz="0" w:space="0" w:color="auto"/>
        <w:right w:val="none" w:sz="0" w:space="0" w:color="auto"/>
      </w:divBdr>
    </w:div>
    <w:div w:id="2070570510">
      <w:bodyDiv w:val="1"/>
      <w:marLeft w:val="0"/>
      <w:marRight w:val="0"/>
      <w:marTop w:val="0"/>
      <w:marBottom w:val="0"/>
      <w:divBdr>
        <w:top w:val="none" w:sz="0" w:space="0" w:color="auto"/>
        <w:left w:val="none" w:sz="0" w:space="0" w:color="auto"/>
        <w:bottom w:val="none" w:sz="0" w:space="0" w:color="auto"/>
        <w:right w:val="none" w:sz="0" w:space="0" w:color="auto"/>
      </w:divBdr>
    </w:div>
    <w:div w:id="2081054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inance-ni.gov.uk/publications/sourcing-and-construction-toolkits-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nance-ni.gov.uk/publications/sourcing-and-construction-toolkits-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lkC1QCFyPcZkQG8/K/UWghe/DQ==">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9E24096C3B12B4DBFEA258BF752736B" ma:contentTypeVersion="21" ma:contentTypeDescription="Create a new document." ma:contentTypeScope="" ma:versionID="11e1db6a91ca118dd2a7a7a8ab24014d">
  <xsd:schema xmlns:xsd="http://www.w3.org/2001/XMLSchema" xmlns:xs="http://www.w3.org/2001/XMLSchema" xmlns:p="http://schemas.microsoft.com/office/2006/metadata/properties" xmlns:ns2="9d4129ff-ef0a-40c0-8b49-4a6f63e57580" xmlns:ns3="612aadd7-b01c-41d5-aa88-82409a530b20" targetNamespace="http://schemas.microsoft.com/office/2006/metadata/properties" ma:root="true" ma:fieldsID="c40e19640a7b406f500ba43461ec8ac9" ns2:_="" ns3:_="">
    <xsd:import namespace="9d4129ff-ef0a-40c0-8b49-4a6f63e57580"/>
    <xsd:import namespace="612aadd7-b01c-41d5-aa88-82409a530b2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hiddenIsFolder" minOccurs="0"/>
                <xsd:element ref="ns3:SharedWithUsers" minOccurs="0"/>
                <xsd:element ref="ns3:SharedWithDetails" minOccurs="0"/>
                <xsd:element ref="ns2:MediaServiceAutoKeyPoints" minOccurs="0"/>
                <xsd:element ref="ns2:MediaServiceKeyPoints" minOccurs="0"/>
                <xsd:element ref="ns2:MediaServiceOCR"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4129ff-ef0a-40c0-8b49-4a6f63e575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ada61a6-5d5e-4c39-82a5-8001dc202fd5"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hiddenIsFolder" ma:index="15" nillable="true" ma:displayName="hiddenIsFolder" ma:default="No" ma:hidden="true" ma:internalName="hiddenIsFolder" ma:readOnly="false">
      <xsd:simpleType>
        <xsd:restriction base="dms:Text">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2aadd7-b01c-41d5-aa88-82409a530b2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1cd684c-f2d4-4bd0-8c9e-3559e68b6821}" ma:internalName="TaxCatchAll" ma:showField="CatchAllData" ma:web="612aadd7-b01c-41d5-aa88-82409a530b2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4129ff-ef0a-40c0-8b49-4a6f63e57580">
      <Terms xmlns="http://schemas.microsoft.com/office/infopath/2007/PartnerControls"/>
    </lcf76f155ced4ddcb4097134ff3c332f>
    <TaxCatchAll xmlns="612aadd7-b01c-41d5-aa88-82409a530b20" xsi:nil="true"/>
    <hiddenIsFolder xmlns="9d4129ff-ef0a-40c0-8b49-4a6f63e57580">No</hiddenIsFolder>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3F151B-0838-4624-B25A-2E133CC14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4129ff-ef0a-40c0-8b49-4a6f63e57580"/>
    <ds:schemaRef ds:uri="612aadd7-b01c-41d5-aa88-82409a530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3BE39-C8AC-4BBD-B51A-22221456D124}">
  <ds:schemaRefs>
    <ds:schemaRef ds:uri="http://schemas.microsoft.com/office/2006/metadata/properties"/>
    <ds:schemaRef ds:uri="http://schemas.microsoft.com/office/infopath/2007/PartnerControls"/>
    <ds:schemaRef ds:uri="9d4129ff-ef0a-40c0-8b49-4a6f63e57580"/>
    <ds:schemaRef ds:uri="612aadd7-b01c-41d5-aa88-82409a530b20"/>
  </ds:schemaRefs>
</ds:datastoreItem>
</file>

<file path=customXml/itemProps4.xml><?xml version="1.0" encoding="utf-8"?>
<ds:datastoreItem xmlns:ds="http://schemas.openxmlformats.org/officeDocument/2006/customXml" ds:itemID="{8D5BF472-6258-49BA-9F22-EAC410A9CE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3319</Words>
  <Characters>17215</Characters>
  <Application>Microsoft Office Word</Application>
  <DocSecurity>0</DocSecurity>
  <PresentationFormat/>
  <Lines>518</Lines>
  <Paragraphs>169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DPU</dc:creator>
  <cp:keywords/>
  <dc:description/>
  <cp:lastModifiedBy>McCann, Stephen</cp:lastModifiedBy>
  <cp:revision>2</cp:revision>
  <dcterms:created xsi:type="dcterms:W3CDTF">2025-10-10T13:44:00Z</dcterms:created>
  <dcterms:modified xsi:type="dcterms:W3CDTF">2025-10-10T13:44:00Z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WFFooter">
    <vt:lpwstr>92858536-1</vt:lpwstr>
  </property>
  <property fmtid="{D5CDD505-2E9C-101B-9397-08002B2CF9AE}" pid="3" name="MediaServiceImageTags">
    <vt:lpwstr/>
  </property>
  <property fmtid="{D5CDD505-2E9C-101B-9397-08002B2CF9AE}" pid="4" name="ContentTypeId">
    <vt:lpwstr>0x01010049E24096C3B12B4DBFEA258BF752736B</vt:lpwstr>
  </property>
  <property fmtid="{D5CDD505-2E9C-101B-9397-08002B2CF9AE}" pid="5" name="DWFAuthor">
    <vt:lpwstr>DJEFFERIES</vt:lpwstr>
  </property>
  <property fmtid="{D5CDD505-2E9C-101B-9397-08002B2CF9AE}" pid="6" name="DWFTypist">
    <vt:lpwstr>LZS</vt:lpwstr>
  </property>
  <property fmtid="{D5CDD505-2E9C-101B-9397-08002B2CF9AE}" pid="7" name="DWFTypistName">
    <vt:lpwstr>Lesley Shelbourne</vt:lpwstr>
  </property>
  <property fmtid="{D5CDD505-2E9C-101B-9397-08002B2CF9AE}" pid="8" name="DWFAuthorName">
    <vt:lpwstr>Douglas Jefferies</vt:lpwstr>
  </property>
  <property fmtid="{D5CDD505-2E9C-101B-9397-08002B2CF9AE}" pid="9" name="DWFClientNum">
    <vt:lpwstr>2040175</vt:lpwstr>
  </property>
  <property fmtid="{D5CDD505-2E9C-101B-9397-08002B2CF9AE}" pid="10" name="DWFClientName">
    <vt:lpwstr>Government Legal Department</vt:lpwstr>
  </property>
  <property fmtid="{D5CDD505-2E9C-101B-9397-08002B2CF9AE}" pid="11" name="DWFMatterNum">
    <vt:lpwstr>26</vt:lpwstr>
  </property>
  <property fmtid="{D5CDD505-2E9C-101B-9397-08002B2CF9AE}" pid="12" name="DWFMatterName">
    <vt:lpwstr>RM6179 - LSP - 099 - Model Contracts Review 2024</vt:lpwstr>
  </property>
  <property fmtid="{D5CDD505-2E9C-101B-9397-08002B2CF9AE}" pid="13" name="DWFOurRef">
    <vt:lpwstr>0</vt:lpwstr>
  </property>
  <property fmtid="{D5CDD505-2E9C-101B-9397-08002B2CF9AE}" pid="14" name="DWFDocName">
    <vt:lpwstr>Mid-Tier Schedule 10 (Performance Levels) (V5)</vt:lpwstr>
  </property>
  <property fmtid="{D5CDD505-2E9C-101B-9397-08002B2CF9AE}" pid="15" name="DWFOffice">
    <vt:lpwstr>LLP - Edinburgh - 2 Semple Street</vt:lpwstr>
  </property>
  <property fmtid="{D5CDD505-2E9C-101B-9397-08002B2CF9AE}" pid="16" name="DWFClientPartner">
    <vt:lpwstr>Colin Murray</vt:lpwstr>
  </property>
  <property fmtid="{D5CDD505-2E9C-101B-9397-08002B2CF9AE}" pid="17" name="DWFMatterPartner">
    <vt:lpwstr>Douglas Jefferies</vt:lpwstr>
  </property>
  <property fmtid="{D5CDD505-2E9C-101B-9397-08002B2CF9AE}" pid="18" name="DWFPracticeGroup">
    <vt:lpwstr>Commercial, Regulatory &amp; Data</vt:lpwstr>
  </property>
</Properties>
</file>