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557D" w14:textId="77777777" w:rsidR="00586084" w:rsidRDefault="00586084" w:rsidP="00586084">
      <w:pPr>
        <w:tabs>
          <w:tab w:val="left" w:pos="720"/>
        </w:tabs>
        <w:snapToGrid w:val="0"/>
        <w:spacing w:line="360" w:lineRule="auto"/>
        <w:jc w:val="both"/>
        <w:outlineLvl w:val="0"/>
        <w:rPr>
          <w:rFonts w:ascii="Arial" w:hAnsi="Arial" w:cs="Arial"/>
          <w:b/>
          <w:bCs/>
          <w:sz w:val="28"/>
          <w:szCs w:val="28"/>
        </w:rPr>
      </w:pPr>
      <w:bookmarkStart w:id="0" w:name="_GoBack"/>
      <w:bookmarkEnd w:id="0"/>
    </w:p>
    <w:p w14:paraId="19FA6FE2" w14:textId="77777777" w:rsidR="00586084" w:rsidRDefault="00B96720" w:rsidP="00586084">
      <w:pPr>
        <w:tabs>
          <w:tab w:val="left" w:pos="720"/>
        </w:tabs>
        <w:snapToGrid w:val="0"/>
        <w:spacing w:line="360" w:lineRule="auto"/>
        <w:jc w:val="right"/>
        <w:outlineLvl w:val="0"/>
        <w:rPr>
          <w:rFonts w:ascii="Arial" w:hAnsi="Arial" w:cs="Arial"/>
          <w:b/>
          <w:bCs/>
          <w:sz w:val="28"/>
          <w:szCs w:val="28"/>
        </w:rPr>
      </w:pPr>
      <w:r>
        <w:rPr>
          <w:rFonts w:cs="Arial"/>
          <w:b/>
          <w:sz w:val="28"/>
          <w:szCs w:val="28"/>
        </w:rPr>
        <w:pict w14:anchorId="7BE3C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82.5pt">
            <v:imagedata r:id="rId8" o:title="finance-bilingual (jpg)"/>
          </v:shape>
        </w:pict>
      </w:r>
    </w:p>
    <w:p w14:paraId="37A2F1EA" w14:textId="7463BAB0" w:rsidR="00586084" w:rsidRDefault="001C0BB7" w:rsidP="00586084">
      <w:pPr>
        <w:tabs>
          <w:tab w:val="left" w:pos="720"/>
        </w:tabs>
        <w:snapToGrid w:val="0"/>
        <w:spacing w:line="360" w:lineRule="auto"/>
        <w:jc w:val="center"/>
        <w:outlineLvl w:val="0"/>
        <w:rPr>
          <w:rFonts w:ascii="Arial" w:hAnsi="Arial" w:cs="Arial"/>
          <w:b/>
          <w:bCs/>
          <w:sz w:val="28"/>
          <w:szCs w:val="28"/>
        </w:rPr>
      </w:pPr>
      <w:r>
        <w:rPr>
          <w:rFonts w:ascii="Arial" w:hAnsi="Arial" w:cs="Arial"/>
          <w:b/>
          <w:bCs/>
          <w:sz w:val="28"/>
          <w:szCs w:val="28"/>
        </w:rPr>
        <w:t xml:space="preserve">SSD </w:t>
      </w:r>
      <w:r w:rsidR="00586084">
        <w:rPr>
          <w:rFonts w:ascii="Arial" w:hAnsi="Arial" w:cs="Arial"/>
          <w:b/>
          <w:bCs/>
          <w:sz w:val="28"/>
          <w:szCs w:val="28"/>
        </w:rPr>
        <w:t>SECURITY CLEARANCE PROCEDURES</w:t>
      </w:r>
    </w:p>
    <w:p w14:paraId="01277C6C" w14:textId="77777777" w:rsidR="00586084" w:rsidRDefault="00586084" w:rsidP="00586084">
      <w:pPr>
        <w:tabs>
          <w:tab w:val="left" w:pos="720"/>
        </w:tabs>
        <w:snapToGrid w:val="0"/>
        <w:spacing w:line="360" w:lineRule="auto"/>
        <w:jc w:val="both"/>
        <w:outlineLvl w:val="0"/>
        <w:rPr>
          <w:rFonts w:ascii="Arial" w:hAnsi="Arial" w:cs="Arial"/>
          <w:b/>
          <w:bCs/>
          <w:sz w:val="28"/>
          <w:szCs w:val="28"/>
        </w:rPr>
      </w:pPr>
    </w:p>
    <w:p w14:paraId="62DCE99D" w14:textId="77777777" w:rsidR="00586084" w:rsidRDefault="00586084" w:rsidP="00586084">
      <w:pPr>
        <w:tabs>
          <w:tab w:val="left" w:pos="720"/>
        </w:tabs>
        <w:snapToGrid w:val="0"/>
        <w:spacing w:line="360" w:lineRule="auto"/>
        <w:jc w:val="both"/>
        <w:outlineLvl w:val="0"/>
        <w:rPr>
          <w:rFonts w:ascii="Arial" w:hAnsi="Arial" w:cs="Arial"/>
          <w:b/>
          <w:bCs/>
          <w:sz w:val="28"/>
          <w:szCs w:val="28"/>
        </w:rPr>
      </w:pPr>
      <w:r w:rsidRPr="00A22D86">
        <w:rPr>
          <w:rFonts w:ascii="Arial" w:hAnsi="Arial" w:cs="Arial"/>
          <w:b/>
          <w:bCs/>
          <w:sz w:val="28"/>
          <w:szCs w:val="28"/>
        </w:rPr>
        <w:t>Background</w:t>
      </w:r>
    </w:p>
    <w:p w14:paraId="4A01ADC8" w14:textId="46E8AE02" w:rsidR="006D6CF2" w:rsidRDefault="00586084" w:rsidP="006D6CF2">
      <w:pPr>
        <w:numPr>
          <w:ilvl w:val="0"/>
          <w:numId w:val="34"/>
        </w:numPr>
        <w:tabs>
          <w:tab w:val="clear" w:pos="927"/>
          <w:tab w:val="left" w:pos="0"/>
        </w:tabs>
        <w:spacing w:line="360" w:lineRule="auto"/>
        <w:ind w:left="284"/>
        <w:jc w:val="both"/>
        <w:rPr>
          <w:rFonts w:ascii="Arial" w:hAnsi="Arial" w:cs="Arial"/>
          <w:sz w:val="24"/>
        </w:rPr>
      </w:pPr>
      <w:r w:rsidRPr="008F5FBB">
        <w:rPr>
          <w:rFonts w:ascii="Arial" w:hAnsi="Arial" w:cs="Arial"/>
          <w:sz w:val="24"/>
        </w:rPr>
        <w:t>The purpose of this document is to set out the procedures for security clearance of contractors’. This Note is not intended to advise clients on the necessity for, or appropriate levels of, clearance. The client should direct those queries to the client’s own Assistant Departmental Security Officer (ADSO)</w:t>
      </w:r>
      <w:r w:rsidR="001C0BB7">
        <w:rPr>
          <w:rFonts w:ascii="Arial" w:hAnsi="Arial" w:cs="Arial"/>
          <w:sz w:val="24"/>
        </w:rPr>
        <w:t>. This note s</w:t>
      </w:r>
      <w:r w:rsidR="00D64139" w:rsidRPr="001C0BB7">
        <w:rPr>
          <w:rFonts w:ascii="Arial" w:hAnsi="Arial" w:cs="Arial"/>
          <w:sz w:val="24"/>
        </w:rPr>
        <w:t>hould be</w:t>
      </w:r>
      <w:r w:rsidR="001C0BB7" w:rsidRPr="001C0BB7">
        <w:rPr>
          <w:rFonts w:ascii="Arial" w:hAnsi="Arial" w:cs="Arial"/>
          <w:sz w:val="24"/>
        </w:rPr>
        <w:t xml:space="preserve"> read in conjunction with</w:t>
      </w:r>
      <w:r w:rsidR="00D64139" w:rsidRPr="001C0BB7">
        <w:rPr>
          <w:rFonts w:ascii="Arial" w:hAnsi="Arial" w:cs="Arial"/>
          <w:sz w:val="24"/>
        </w:rPr>
        <w:t xml:space="preserve"> </w:t>
      </w:r>
      <w:r w:rsidR="001C0BB7" w:rsidRPr="001C0BB7">
        <w:rPr>
          <w:rFonts w:ascii="Arial" w:hAnsi="Arial" w:cs="Arial"/>
          <w:sz w:val="24"/>
        </w:rPr>
        <w:t xml:space="preserve">NICS HR </w:t>
      </w:r>
      <w:r w:rsidR="001C0BB7" w:rsidRPr="006A1B19">
        <w:rPr>
          <w:rFonts w:ascii="Arial" w:hAnsi="Arial" w:cs="Arial"/>
          <w:sz w:val="24"/>
        </w:rPr>
        <w:t>Security Clearance Guidance for Contractors</w:t>
      </w:r>
      <w:r w:rsidR="006A1B19" w:rsidRPr="006A1B19">
        <w:rPr>
          <w:rFonts w:ascii="Arial" w:hAnsi="Arial" w:cs="Arial"/>
          <w:sz w:val="24"/>
        </w:rPr>
        <w:t xml:space="preserve">; </w:t>
      </w:r>
      <w:hyperlink r:id="rId9" w:history="1">
        <w:r w:rsidR="006A1B19" w:rsidRPr="006A1B19">
          <w:rPr>
            <w:rStyle w:val="Hyperlink"/>
            <w:rFonts w:ascii="Arial" w:hAnsi="Arial" w:cs="Arial"/>
            <w:sz w:val="24"/>
          </w:rPr>
          <w:t>CPD new work request form | Department of Finance (finance-ni.gov.uk)</w:t>
        </w:r>
      </w:hyperlink>
      <w:r w:rsidR="006D6CF2">
        <w:rPr>
          <w:rFonts w:ascii="Arial" w:hAnsi="Arial" w:cs="Arial"/>
          <w:sz w:val="24"/>
        </w:rPr>
        <w:t xml:space="preserve"> </w:t>
      </w:r>
    </w:p>
    <w:p w14:paraId="6E9E42AB" w14:textId="77777777" w:rsidR="00586084" w:rsidRPr="008F5FBB" w:rsidRDefault="00586084" w:rsidP="00586084">
      <w:pPr>
        <w:pStyle w:val="ListParagraph"/>
        <w:tabs>
          <w:tab w:val="num" w:pos="567"/>
        </w:tabs>
        <w:ind w:left="284"/>
        <w:jc w:val="both"/>
        <w:rPr>
          <w:rFonts w:ascii="Arial" w:hAnsi="Arial" w:cs="Arial"/>
          <w:sz w:val="24"/>
        </w:rPr>
      </w:pPr>
    </w:p>
    <w:p w14:paraId="48709394" w14:textId="77777777" w:rsidR="00586084" w:rsidRPr="008F5FBB" w:rsidRDefault="00586084" w:rsidP="00586084">
      <w:pPr>
        <w:numPr>
          <w:ilvl w:val="0"/>
          <w:numId w:val="8"/>
        </w:numPr>
        <w:tabs>
          <w:tab w:val="clear" w:pos="927"/>
          <w:tab w:val="num" w:pos="0"/>
        </w:tabs>
        <w:spacing w:line="360" w:lineRule="auto"/>
        <w:ind w:left="284"/>
        <w:jc w:val="both"/>
        <w:rPr>
          <w:rFonts w:ascii="Arial" w:hAnsi="Arial" w:cs="Arial"/>
          <w:sz w:val="24"/>
        </w:rPr>
      </w:pPr>
      <w:r w:rsidRPr="008F5FBB">
        <w:rPr>
          <w:rFonts w:ascii="Arial" w:hAnsi="Arial" w:cs="Arial"/>
          <w:sz w:val="24"/>
        </w:rPr>
        <w:t xml:space="preserve">Security clearance is the responsibility of the client. The client’s ADSO shall determine the appropriate level of security clearance required for all contractors’ personnel on a contract by contract basis. </w:t>
      </w:r>
    </w:p>
    <w:p w14:paraId="21DA7F8A" w14:textId="77777777" w:rsidR="00586084" w:rsidRPr="008F5FBB" w:rsidRDefault="00586084" w:rsidP="00586084">
      <w:pPr>
        <w:pStyle w:val="ListParagraph"/>
        <w:tabs>
          <w:tab w:val="num" w:pos="567"/>
        </w:tabs>
        <w:ind w:left="284"/>
        <w:jc w:val="both"/>
        <w:rPr>
          <w:rFonts w:ascii="Arial" w:hAnsi="Arial" w:cs="Arial"/>
          <w:sz w:val="24"/>
        </w:rPr>
      </w:pPr>
    </w:p>
    <w:p w14:paraId="565BA4C0" w14:textId="77777777" w:rsidR="00586084" w:rsidRPr="008F5FBB" w:rsidRDefault="00586084" w:rsidP="00586084">
      <w:pPr>
        <w:numPr>
          <w:ilvl w:val="0"/>
          <w:numId w:val="8"/>
        </w:numPr>
        <w:tabs>
          <w:tab w:val="clear" w:pos="927"/>
          <w:tab w:val="left" w:pos="0"/>
        </w:tabs>
        <w:spacing w:line="360" w:lineRule="auto"/>
        <w:ind w:left="284"/>
        <w:jc w:val="both"/>
        <w:rPr>
          <w:rFonts w:ascii="Arial" w:hAnsi="Arial" w:cs="Arial"/>
          <w:sz w:val="24"/>
        </w:rPr>
      </w:pPr>
      <w:r w:rsidRPr="008F5FBB">
        <w:rPr>
          <w:rFonts w:ascii="Arial" w:hAnsi="Arial" w:cs="Arial"/>
          <w:sz w:val="24"/>
        </w:rPr>
        <w:t>The scope of this note is confined to security requirements for individuals contracted to provide goods and services.</w:t>
      </w:r>
    </w:p>
    <w:p w14:paraId="14CC4EDE" w14:textId="77777777" w:rsidR="00586084" w:rsidRPr="008F5FBB" w:rsidRDefault="00586084" w:rsidP="00586084">
      <w:pPr>
        <w:pStyle w:val="ListParagraph"/>
        <w:tabs>
          <w:tab w:val="num" w:pos="567"/>
        </w:tabs>
        <w:ind w:left="284"/>
        <w:jc w:val="both"/>
        <w:rPr>
          <w:rFonts w:ascii="Arial" w:hAnsi="Arial" w:cs="Arial"/>
          <w:sz w:val="24"/>
        </w:rPr>
      </w:pPr>
    </w:p>
    <w:p w14:paraId="7CFA4A73" w14:textId="77777777" w:rsidR="00586084" w:rsidRPr="008F5FBB" w:rsidRDefault="00586084" w:rsidP="00586084">
      <w:pPr>
        <w:numPr>
          <w:ilvl w:val="0"/>
          <w:numId w:val="8"/>
        </w:numPr>
        <w:tabs>
          <w:tab w:val="clear" w:pos="927"/>
          <w:tab w:val="num" w:pos="284"/>
          <w:tab w:val="left" w:pos="360"/>
        </w:tabs>
        <w:spacing w:line="360" w:lineRule="auto"/>
        <w:ind w:left="284"/>
        <w:jc w:val="both"/>
        <w:rPr>
          <w:rFonts w:ascii="Arial" w:hAnsi="Arial" w:cs="Arial"/>
          <w:sz w:val="24"/>
        </w:rPr>
      </w:pPr>
      <w:r>
        <w:rPr>
          <w:rFonts w:ascii="Arial" w:hAnsi="Arial" w:cs="Arial"/>
          <w:sz w:val="24"/>
        </w:rPr>
        <w:t>SSD staff m</w:t>
      </w:r>
      <w:r>
        <w:rPr>
          <w:rFonts w:ascii="Arial" w:hAnsi="Arial" w:cs="Arial"/>
          <w:bCs/>
          <w:sz w:val="24"/>
        </w:rPr>
        <w:t>u</w:t>
      </w:r>
      <w:r>
        <w:rPr>
          <w:rFonts w:ascii="Arial" w:hAnsi="Arial" w:cs="Arial"/>
          <w:sz w:val="24"/>
        </w:rPr>
        <w:t>st work with client Departments, Agencies, NDPBs or others to establish the required level of security clearance for all their sites. It should be noted that Departmental Security Officers (DSO) have no direct responsibility for security within NDPBs and therefore NDPBs must be consulted directly.</w:t>
      </w:r>
    </w:p>
    <w:p w14:paraId="290719A3" w14:textId="77777777" w:rsidR="00586084" w:rsidRPr="008F5FBB" w:rsidRDefault="00586084" w:rsidP="00586084">
      <w:pPr>
        <w:pStyle w:val="ListParagraph"/>
        <w:tabs>
          <w:tab w:val="num" w:pos="567"/>
        </w:tabs>
        <w:ind w:left="284"/>
        <w:jc w:val="both"/>
        <w:rPr>
          <w:rFonts w:ascii="Arial" w:hAnsi="Arial" w:cs="Arial"/>
          <w:sz w:val="24"/>
        </w:rPr>
      </w:pPr>
    </w:p>
    <w:p w14:paraId="106F3F6F" w14:textId="7C78D52B" w:rsidR="00586084" w:rsidRPr="008F5FBB" w:rsidRDefault="00586084" w:rsidP="00586084">
      <w:pPr>
        <w:numPr>
          <w:ilvl w:val="0"/>
          <w:numId w:val="8"/>
        </w:numPr>
        <w:tabs>
          <w:tab w:val="clear" w:pos="927"/>
          <w:tab w:val="num" w:pos="284"/>
        </w:tabs>
        <w:spacing w:line="360" w:lineRule="auto"/>
        <w:ind w:left="284"/>
        <w:jc w:val="both"/>
        <w:rPr>
          <w:rFonts w:ascii="Arial" w:hAnsi="Arial" w:cs="Arial"/>
          <w:sz w:val="24"/>
        </w:rPr>
      </w:pPr>
      <w:r w:rsidRPr="006C4E81">
        <w:rPr>
          <w:rFonts w:ascii="Arial" w:hAnsi="Arial" w:cs="Arial"/>
          <w:sz w:val="24"/>
        </w:rPr>
        <w:t xml:space="preserve">DoF </w:t>
      </w:r>
      <w:r>
        <w:rPr>
          <w:rFonts w:ascii="Arial" w:hAnsi="Arial" w:cs="Arial"/>
          <w:sz w:val="24"/>
        </w:rPr>
        <w:t>NICS HR</w:t>
      </w:r>
      <w:r w:rsidRPr="006C4E81">
        <w:rPr>
          <w:rFonts w:ascii="Arial" w:hAnsi="Arial" w:cs="Arial"/>
          <w:sz w:val="24"/>
        </w:rPr>
        <w:t xml:space="preserve"> will not process any national security vetting clearances or make decisions on criminal records for any bodies outside of the Northern Ireland Civil Service (NICS). </w:t>
      </w:r>
      <w:r>
        <w:rPr>
          <w:rFonts w:ascii="Arial" w:hAnsi="Arial" w:cs="Arial"/>
          <w:sz w:val="24"/>
        </w:rPr>
        <w:t>NICS HR</w:t>
      </w:r>
      <w:r w:rsidRPr="006C4E81">
        <w:rPr>
          <w:rFonts w:ascii="Arial" w:hAnsi="Arial" w:cs="Arial"/>
          <w:sz w:val="24"/>
        </w:rPr>
        <w:t xml:space="preserve"> will therefore only process Baseline Personnel Security Standard (BPSS) level and national security vetting clearances for those contractor employees who will be engaged in work within a NICS Department or Executive Agency. </w:t>
      </w:r>
      <w:r>
        <w:rPr>
          <w:rFonts w:ascii="Arial" w:hAnsi="Arial" w:cs="Arial"/>
          <w:sz w:val="24"/>
        </w:rPr>
        <w:t>NICS HR</w:t>
      </w:r>
      <w:r w:rsidRPr="006C4E81">
        <w:rPr>
          <w:rFonts w:ascii="Arial" w:hAnsi="Arial" w:cs="Arial"/>
          <w:sz w:val="24"/>
        </w:rPr>
        <w:t xml:space="preserve"> will no longer process or make vetting decisions for any non-</w:t>
      </w:r>
      <w:r w:rsidR="007661E4">
        <w:rPr>
          <w:rFonts w:ascii="Arial" w:hAnsi="Arial" w:cs="Arial"/>
          <w:sz w:val="24"/>
        </w:rPr>
        <w:t>departmental public body, arms le</w:t>
      </w:r>
      <w:r w:rsidRPr="006C4E81">
        <w:rPr>
          <w:rFonts w:ascii="Arial" w:hAnsi="Arial" w:cs="Arial"/>
          <w:sz w:val="24"/>
        </w:rPr>
        <w:t xml:space="preserve">ngth body, further education body, health trust or council. The NICS does not make decisions on direct recruits to any of </w:t>
      </w:r>
      <w:r w:rsidRPr="006C4E81">
        <w:rPr>
          <w:rFonts w:ascii="Arial" w:hAnsi="Arial" w:cs="Arial"/>
          <w:sz w:val="24"/>
        </w:rPr>
        <w:lastRenderedPageBreak/>
        <w:t>these bodies therefore this change is aligning the treatment of contractors to that of direct recruits.</w:t>
      </w:r>
    </w:p>
    <w:p w14:paraId="16E1482A" w14:textId="77777777" w:rsidR="00586084" w:rsidRPr="008F5FBB" w:rsidRDefault="00586084" w:rsidP="00586084">
      <w:pPr>
        <w:tabs>
          <w:tab w:val="left" w:pos="360"/>
          <w:tab w:val="num" w:pos="567"/>
        </w:tabs>
        <w:spacing w:line="360" w:lineRule="auto"/>
        <w:ind w:left="284"/>
        <w:jc w:val="both"/>
        <w:rPr>
          <w:rFonts w:ascii="Arial" w:hAnsi="Arial" w:cs="Arial"/>
          <w:sz w:val="24"/>
        </w:rPr>
      </w:pPr>
    </w:p>
    <w:p w14:paraId="5B9A27A2" w14:textId="77777777" w:rsidR="00586084" w:rsidRPr="008F5FBB" w:rsidRDefault="00586084" w:rsidP="00586084">
      <w:pPr>
        <w:numPr>
          <w:ilvl w:val="0"/>
          <w:numId w:val="8"/>
        </w:numPr>
        <w:tabs>
          <w:tab w:val="clear" w:pos="927"/>
          <w:tab w:val="num" w:pos="0"/>
        </w:tabs>
        <w:spacing w:line="360" w:lineRule="auto"/>
        <w:ind w:left="284"/>
        <w:jc w:val="both"/>
        <w:rPr>
          <w:rFonts w:ascii="Arial" w:hAnsi="Arial" w:cs="Arial"/>
          <w:sz w:val="24"/>
        </w:rPr>
      </w:pPr>
      <w:r w:rsidRPr="006C4E81">
        <w:rPr>
          <w:rFonts w:ascii="Arial" w:hAnsi="Arial" w:cs="Arial"/>
          <w:sz w:val="24"/>
        </w:rPr>
        <w:t xml:space="preserve">It is recognised that, in collaborative arrangements, contractor staff may be engaged in work at both NICS and NDPB sites. To avoid duplication of costs, CPD has requested that NDPBs do not request additional checks if these have been already completed by </w:t>
      </w:r>
      <w:r>
        <w:rPr>
          <w:rFonts w:ascii="Arial" w:hAnsi="Arial" w:cs="Arial"/>
          <w:sz w:val="24"/>
        </w:rPr>
        <w:t>NICS HR</w:t>
      </w:r>
      <w:r w:rsidRPr="006C4E81">
        <w:rPr>
          <w:rFonts w:ascii="Arial" w:hAnsi="Arial" w:cs="Arial"/>
          <w:sz w:val="24"/>
        </w:rPr>
        <w:t>.</w:t>
      </w:r>
    </w:p>
    <w:p w14:paraId="43EF4A6B" w14:textId="77777777" w:rsidR="00586084" w:rsidRPr="008F5FBB" w:rsidRDefault="00586084" w:rsidP="00586084">
      <w:pPr>
        <w:tabs>
          <w:tab w:val="left" w:pos="360"/>
          <w:tab w:val="num" w:pos="567"/>
        </w:tabs>
        <w:spacing w:line="360" w:lineRule="auto"/>
        <w:ind w:left="284"/>
        <w:jc w:val="both"/>
        <w:rPr>
          <w:rFonts w:ascii="Arial" w:hAnsi="Arial" w:cs="Arial"/>
          <w:sz w:val="24"/>
        </w:rPr>
      </w:pPr>
    </w:p>
    <w:p w14:paraId="4E06B92C" w14:textId="77777777" w:rsidR="00586084" w:rsidRPr="008F5FBB" w:rsidRDefault="00586084" w:rsidP="00586084">
      <w:pPr>
        <w:numPr>
          <w:ilvl w:val="0"/>
          <w:numId w:val="8"/>
        </w:numPr>
        <w:tabs>
          <w:tab w:val="clear" w:pos="927"/>
          <w:tab w:val="left" w:pos="0"/>
        </w:tabs>
        <w:spacing w:line="360" w:lineRule="auto"/>
        <w:ind w:left="284"/>
        <w:jc w:val="both"/>
        <w:rPr>
          <w:rFonts w:ascii="Arial" w:hAnsi="Arial" w:cs="Arial"/>
          <w:sz w:val="24"/>
        </w:rPr>
      </w:pPr>
      <w:r w:rsidRPr="006C4E81">
        <w:rPr>
          <w:rFonts w:ascii="Arial" w:hAnsi="Arial" w:cs="Arial"/>
          <w:sz w:val="24"/>
        </w:rPr>
        <w:t>In line with the above, access to the Contractor Vetting Database will also be restricted to relevant personnel. This includes DSOs</w:t>
      </w:r>
      <w:r>
        <w:rPr>
          <w:rFonts w:ascii="Arial" w:hAnsi="Arial" w:cs="Arial"/>
          <w:sz w:val="24"/>
        </w:rPr>
        <w:t xml:space="preserve"> and </w:t>
      </w:r>
      <w:r w:rsidRPr="006C4E81">
        <w:rPr>
          <w:rFonts w:ascii="Arial" w:hAnsi="Arial" w:cs="Arial"/>
          <w:sz w:val="24"/>
        </w:rPr>
        <w:t>ADSOs and any additional NICS premises staff to whom a DSO or ADSO grants access for the purpose of verification of contractor staff at point of entry</w:t>
      </w:r>
      <w:r>
        <w:rPr>
          <w:rFonts w:ascii="Arial" w:hAnsi="Arial" w:cs="Arial"/>
          <w:sz w:val="24"/>
        </w:rPr>
        <w:t>.</w:t>
      </w:r>
    </w:p>
    <w:p w14:paraId="6DAF31AD" w14:textId="77777777" w:rsidR="00586084" w:rsidRPr="008F5FBB" w:rsidRDefault="00586084" w:rsidP="00586084">
      <w:pPr>
        <w:tabs>
          <w:tab w:val="left" w:pos="720"/>
        </w:tabs>
        <w:snapToGrid w:val="0"/>
        <w:spacing w:line="360" w:lineRule="auto"/>
        <w:jc w:val="both"/>
        <w:rPr>
          <w:rFonts w:ascii="Arial" w:hAnsi="Arial" w:cs="Arial"/>
          <w:b/>
          <w:bCs/>
          <w:sz w:val="24"/>
        </w:rPr>
      </w:pPr>
    </w:p>
    <w:p w14:paraId="75119DCD" w14:textId="77777777" w:rsidR="00586084" w:rsidRDefault="00586084" w:rsidP="00586084">
      <w:pPr>
        <w:tabs>
          <w:tab w:val="left" w:pos="720"/>
        </w:tabs>
        <w:snapToGrid w:val="0"/>
        <w:spacing w:line="360" w:lineRule="auto"/>
        <w:jc w:val="both"/>
        <w:outlineLvl w:val="0"/>
        <w:rPr>
          <w:rFonts w:ascii="Arial" w:hAnsi="Arial" w:cs="Arial"/>
          <w:b/>
          <w:bCs/>
          <w:sz w:val="24"/>
        </w:rPr>
      </w:pPr>
    </w:p>
    <w:p w14:paraId="3FDFA74D" w14:textId="77777777" w:rsidR="00586084" w:rsidRPr="008F5FBB" w:rsidRDefault="00586084" w:rsidP="00586084">
      <w:pPr>
        <w:tabs>
          <w:tab w:val="left" w:pos="720"/>
        </w:tabs>
        <w:snapToGrid w:val="0"/>
        <w:spacing w:line="360" w:lineRule="auto"/>
        <w:jc w:val="both"/>
        <w:outlineLvl w:val="0"/>
        <w:rPr>
          <w:rFonts w:ascii="Arial" w:hAnsi="Arial" w:cs="Arial"/>
          <w:b/>
          <w:bCs/>
          <w:sz w:val="24"/>
        </w:rPr>
      </w:pPr>
      <w:r w:rsidRPr="006C4E81">
        <w:rPr>
          <w:rFonts w:ascii="Arial" w:hAnsi="Arial" w:cs="Arial"/>
          <w:b/>
          <w:bCs/>
          <w:sz w:val="24"/>
        </w:rPr>
        <w:t>Level of Disclosure and Period of Validity</w:t>
      </w:r>
    </w:p>
    <w:p w14:paraId="0222091F" w14:textId="77777777" w:rsidR="00586084" w:rsidRPr="008F5FBB" w:rsidRDefault="00586084" w:rsidP="00586084">
      <w:pPr>
        <w:tabs>
          <w:tab w:val="left" w:pos="720"/>
        </w:tabs>
        <w:snapToGrid w:val="0"/>
        <w:spacing w:line="360" w:lineRule="auto"/>
        <w:jc w:val="both"/>
        <w:rPr>
          <w:rFonts w:ascii="Arial" w:hAnsi="Arial" w:cs="Arial"/>
          <w:b/>
          <w:bCs/>
          <w:sz w:val="24"/>
        </w:rPr>
      </w:pPr>
    </w:p>
    <w:p w14:paraId="6EC49D10" w14:textId="77777777" w:rsidR="00586084" w:rsidRPr="008F5FBB" w:rsidRDefault="00586084" w:rsidP="00586084">
      <w:pPr>
        <w:numPr>
          <w:ilvl w:val="0"/>
          <w:numId w:val="8"/>
        </w:numPr>
        <w:tabs>
          <w:tab w:val="clear" w:pos="927"/>
          <w:tab w:val="num" w:pos="142"/>
          <w:tab w:val="num" w:pos="426"/>
        </w:tabs>
        <w:snapToGrid w:val="0"/>
        <w:spacing w:line="360" w:lineRule="auto"/>
        <w:ind w:left="360"/>
        <w:jc w:val="both"/>
        <w:rPr>
          <w:rFonts w:ascii="Arial" w:hAnsi="Arial" w:cs="Arial"/>
          <w:sz w:val="24"/>
        </w:rPr>
      </w:pPr>
      <w:r>
        <w:rPr>
          <w:rFonts w:ascii="Arial" w:hAnsi="Arial" w:cs="Arial"/>
          <w:sz w:val="24"/>
        </w:rPr>
        <w:t xml:space="preserve">The client will advise the SSD Procurement Officer on the level of security clearance required at the initiation stage of the procurement competition. SSD will include the requirements and the agreed level of disclosure in the tender documents so that the contractor is aware of the correct request to make to AccessNI to obtain the appropriate Criminal Record Disclosure Certificate. </w:t>
      </w:r>
    </w:p>
    <w:p w14:paraId="07CA4E81" w14:textId="77777777" w:rsidR="00586084" w:rsidRPr="008F5FBB" w:rsidRDefault="00586084" w:rsidP="00586084">
      <w:pPr>
        <w:tabs>
          <w:tab w:val="left" w:pos="720"/>
        </w:tabs>
        <w:snapToGrid w:val="0"/>
        <w:spacing w:line="360" w:lineRule="auto"/>
        <w:jc w:val="both"/>
        <w:rPr>
          <w:rFonts w:ascii="Arial" w:hAnsi="Arial" w:cs="Arial"/>
          <w:snapToGrid w:val="0"/>
          <w:sz w:val="24"/>
        </w:rPr>
      </w:pPr>
      <w:bookmarkStart w:id="1" w:name="_Toc145784427"/>
      <w:bookmarkEnd w:id="1"/>
    </w:p>
    <w:p w14:paraId="77324D41" w14:textId="77777777" w:rsidR="00586084" w:rsidRPr="008F5FBB" w:rsidRDefault="00586084" w:rsidP="00586084">
      <w:pPr>
        <w:tabs>
          <w:tab w:val="left" w:pos="720"/>
        </w:tabs>
        <w:snapToGrid w:val="0"/>
        <w:spacing w:line="360" w:lineRule="auto"/>
        <w:jc w:val="both"/>
        <w:outlineLvl w:val="0"/>
        <w:rPr>
          <w:rFonts w:ascii="Arial" w:hAnsi="Arial" w:cs="Arial"/>
          <w:b/>
          <w:bCs/>
          <w:sz w:val="24"/>
        </w:rPr>
      </w:pPr>
      <w:r w:rsidRPr="006C4E81">
        <w:rPr>
          <w:rFonts w:ascii="Arial" w:hAnsi="Arial" w:cs="Arial"/>
          <w:b/>
          <w:bCs/>
          <w:sz w:val="24"/>
        </w:rPr>
        <w:t>Roles and Responsibilities</w:t>
      </w:r>
    </w:p>
    <w:p w14:paraId="5FCA9EC3" w14:textId="77777777" w:rsidR="00586084" w:rsidRPr="008F5FBB" w:rsidRDefault="00586084" w:rsidP="00586084">
      <w:pPr>
        <w:tabs>
          <w:tab w:val="left" w:pos="540"/>
          <w:tab w:val="left" w:pos="720"/>
        </w:tabs>
        <w:snapToGrid w:val="0"/>
        <w:spacing w:line="360" w:lineRule="auto"/>
        <w:jc w:val="both"/>
        <w:outlineLvl w:val="0"/>
        <w:rPr>
          <w:rFonts w:ascii="Arial" w:hAnsi="Arial" w:cs="Arial"/>
          <w:b/>
          <w:bCs/>
          <w:sz w:val="24"/>
        </w:rPr>
      </w:pPr>
      <w:r>
        <w:rPr>
          <w:rFonts w:ascii="Arial" w:hAnsi="Arial" w:cs="Arial"/>
          <w:b/>
          <w:sz w:val="24"/>
        </w:rPr>
        <w:t xml:space="preserve">SSD Procurement Officer </w:t>
      </w:r>
    </w:p>
    <w:p w14:paraId="7B398B42" w14:textId="77777777" w:rsidR="00586084" w:rsidRPr="008F5FBB" w:rsidRDefault="00586084" w:rsidP="00586084">
      <w:pPr>
        <w:tabs>
          <w:tab w:val="left" w:pos="540"/>
          <w:tab w:val="left" w:pos="720"/>
        </w:tabs>
        <w:snapToGrid w:val="0"/>
        <w:spacing w:line="360" w:lineRule="auto"/>
        <w:jc w:val="both"/>
        <w:rPr>
          <w:rFonts w:ascii="Arial" w:hAnsi="Arial" w:cs="Arial"/>
          <w:b/>
          <w:bCs/>
          <w:sz w:val="24"/>
        </w:rPr>
      </w:pPr>
    </w:p>
    <w:p w14:paraId="69A05CCF" w14:textId="2F7BFD1B" w:rsidR="00586084" w:rsidRPr="008F5FBB" w:rsidRDefault="001C0BB7" w:rsidP="00586084">
      <w:pPr>
        <w:tabs>
          <w:tab w:val="left" w:pos="540"/>
          <w:tab w:val="left" w:pos="720"/>
        </w:tabs>
        <w:snapToGrid w:val="0"/>
        <w:spacing w:line="360" w:lineRule="auto"/>
        <w:jc w:val="both"/>
        <w:rPr>
          <w:rFonts w:ascii="Arial" w:hAnsi="Arial" w:cs="Arial"/>
          <w:sz w:val="24"/>
        </w:rPr>
      </w:pPr>
      <w:r>
        <w:rPr>
          <w:rFonts w:ascii="Arial" w:hAnsi="Arial" w:cs="Arial"/>
          <w:sz w:val="24"/>
        </w:rPr>
        <w:t>9.</w:t>
      </w:r>
      <w:r w:rsidR="00586084">
        <w:rPr>
          <w:rFonts w:ascii="Arial" w:hAnsi="Arial" w:cs="Arial"/>
          <w:sz w:val="24"/>
        </w:rPr>
        <w:t xml:space="preserve"> </w:t>
      </w:r>
      <w:r w:rsidR="00586084">
        <w:rPr>
          <w:rFonts w:ascii="Arial" w:hAnsi="Arial" w:cs="Arial"/>
          <w:sz w:val="24"/>
        </w:rPr>
        <w:tab/>
        <w:t>The Procurement Officer must:-</w:t>
      </w:r>
    </w:p>
    <w:p w14:paraId="48155886" w14:textId="77777777" w:rsidR="00586084" w:rsidRPr="008F5FBB" w:rsidRDefault="00586084" w:rsidP="00586084">
      <w:pPr>
        <w:tabs>
          <w:tab w:val="left" w:pos="540"/>
          <w:tab w:val="left" w:pos="720"/>
        </w:tabs>
        <w:snapToGrid w:val="0"/>
        <w:spacing w:line="360" w:lineRule="auto"/>
        <w:jc w:val="both"/>
        <w:rPr>
          <w:rFonts w:ascii="Arial" w:hAnsi="Arial" w:cs="Arial"/>
          <w:sz w:val="24"/>
        </w:rPr>
      </w:pPr>
    </w:p>
    <w:p w14:paraId="75F1F906" w14:textId="77777777" w:rsidR="00586084" w:rsidRPr="008F5FBB" w:rsidRDefault="00586084" w:rsidP="00586084">
      <w:pPr>
        <w:numPr>
          <w:ilvl w:val="0"/>
          <w:numId w:val="31"/>
        </w:numPr>
        <w:tabs>
          <w:tab w:val="left" w:pos="993"/>
        </w:tabs>
        <w:spacing w:line="360" w:lineRule="auto"/>
        <w:ind w:left="993" w:hanging="426"/>
        <w:jc w:val="both"/>
        <w:rPr>
          <w:rFonts w:ascii="Arial" w:hAnsi="Arial" w:cs="Arial"/>
          <w:snapToGrid w:val="0"/>
          <w:sz w:val="24"/>
        </w:rPr>
      </w:pPr>
      <w:r>
        <w:rPr>
          <w:rFonts w:ascii="Arial" w:hAnsi="Arial" w:cs="Arial"/>
          <w:snapToGrid w:val="0"/>
          <w:sz w:val="24"/>
        </w:rPr>
        <w:t>Seek confirmation of the level of security clearance required from the client at the      initiation stage of the project.</w:t>
      </w:r>
    </w:p>
    <w:p w14:paraId="5EEB4E0B" w14:textId="77777777" w:rsidR="00586084" w:rsidRPr="008F5FBB" w:rsidRDefault="00586084" w:rsidP="00586084">
      <w:pPr>
        <w:spacing w:before="12" w:line="360" w:lineRule="auto"/>
        <w:ind w:left="1080"/>
        <w:jc w:val="both"/>
        <w:rPr>
          <w:rFonts w:ascii="Arial" w:hAnsi="Arial" w:cs="Arial"/>
          <w:snapToGrid w:val="0"/>
          <w:sz w:val="24"/>
        </w:rPr>
      </w:pPr>
    </w:p>
    <w:p w14:paraId="041DE75F" w14:textId="0593EBA9" w:rsidR="00586084" w:rsidRPr="008F5FBB" w:rsidRDefault="00586084" w:rsidP="00586084">
      <w:pPr>
        <w:numPr>
          <w:ilvl w:val="0"/>
          <w:numId w:val="18"/>
        </w:numPr>
        <w:tabs>
          <w:tab w:val="clear" w:pos="1420"/>
          <w:tab w:val="num" w:pos="900"/>
        </w:tabs>
        <w:spacing w:line="360" w:lineRule="auto"/>
        <w:ind w:left="900"/>
        <w:jc w:val="both"/>
        <w:rPr>
          <w:rFonts w:ascii="Arial" w:hAnsi="Arial" w:cs="Arial"/>
          <w:snapToGrid w:val="0"/>
          <w:sz w:val="24"/>
        </w:rPr>
      </w:pPr>
      <w:r>
        <w:rPr>
          <w:rFonts w:ascii="Arial" w:hAnsi="Arial" w:cs="Arial"/>
          <w:snapToGrid w:val="0"/>
          <w:sz w:val="24"/>
        </w:rPr>
        <w:t>Ensure appropriate</w:t>
      </w:r>
      <w:r>
        <w:rPr>
          <w:rFonts w:ascii="Arial" w:hAnsi="Arial" w:cs="Arial"/>
          <w:bCs/>
          <w:snapToGrid w:val="0"/>
          <w:sz w:val="24"/>
        </w:rPr>
        <w:t xml:space="preserve"> clauses ar</w:t>
      </w:r>
      <w:r>
        <w:rPr>
          <w:rFonts w:ascii="Arial" w:hAnsi="Arial" w:cs="Arial"/>
          <w:snapToGrid w:val="0"/>
          <w:sz w:val="24"/>
        </w:rPr>
        <w:t>e contained within each contract detailing the contractor’s obligations in respect of obtaining and maintaining valid security clearance for all pe</w:t>
      </w:r>
      <w:r w:rsidR="00D64139">
        <w:rPr>
          <w:rFonts w:ascii="Arial" w:hAnsi="Arial" w:cs="Arial"/>
          <w:snapToGrid w:val="0"/>
          <w:sz w:val="24"/>
        </w:rPr>
        <w:t>rsonnel working on the contract</w:t>
      </w:r>
      <w:r>
        <w:rPr>
          <w:rFonts w:ascii="Arial" w:hAnsi="Arial" w:cs="Arial"/>
          <w:snapToGrid w:val="0"/>
          <w:sz w:val="24"/>
        </w:rPr>
        <w:t>.</w:t>
      </w:r>
    </w:p>
    <w:p w14:paraId="0A41E628" w14:textId="77777777" w:rsidR="00586084" w:rsidRPr="008F5FBB" w:rsidRDefault="00586084" w:rsidP="00586084">
      <w:pPr>
        <w:spacing w:line="360" w:lineRule="auto"/>
        <w:jc w:val="both"/>
        <w:rPr>
          <w:rFonts w:ascii="Arial" w:hAnsi="Arial" w:cs="Arial"/>
          <w:snapToGrid w:val="0"/>
          <w:sz w:val="24"/>
        </w:rPr>
      </w:pPr>
    </w:p>
    <w:p w14:paraId="1D273A51" w14:textId="77777777" w:rsidR="00586084" w:rsidRPr="008F5FBB" w:rsidRDefault="00586084" w:rsidP="00586084">
      <w:pPr>
        <w:numPr>
          <w:ilvl w:val="0"/>
          <w:numId w:val="19"/>
        </w:numPr>
        <w:tabs>
          <w:tab w:val="clear" w:pos="1420"/>
          <w:tab w:val="num" w:pos="900"/>
        </w:tabs>
        <w:spacing w:line="360" w:lineRule="auto"/>
        <w:ind w:left="900"/>
        <w:jc w:val="both"/>
        <w:rPr>
          <w:rFonts w:ascii="Arial" w:hAnsi="Arial" w:cs="Arial"/>
          <w:snapToGrid w:val="0"/>
          <w:sz w:val="24"/>
        </w:rPr>
      </w:pPr>
      <w:r>
        <w:rPr>
          <w:rFonts w:ascii="Arial" w:hAnsi="Arial" w:cs="Arial"/>
          <w:snapToGrid w:val="0"/>
          <w:sz w:val="24"/>
        </w:rPr>
        <w:lastRenderedPageBreak/>
        <w:t>Allow for the following indicative periods to be included in the project programme for security clearance:-</w:t>
      </w:r>
    </w:p>
    <w:p w14:paraId="04F4E83B" w14:textId="77777777" w:rsidR="00586084" w:rsidRPr="008F5FBB" w:rsidRDefault="00586084" w:rsidP="00586084">
      <w:pPr>
        <w:spacing w:line="360" w:lineRule="auto"/>
        <w:jc w:val="both"/>
        <w:rPr>
          <w:rFonts w:ascii="Arial" w:hAnsi="Arial" w:cs="Arial"/>
          <w:snapToGrid w:val="0"/>
          <w:sz w:val="24"/>
        </w:rPr>
      </w:pPr>
    </w:p>
    <w:p w14:paraId="427DD8C1"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z w:val="24"/>
        </w:rPr>
      </w:pPr>
      <w:r>
        <w:rPr>
          <w:rFonts w:ascii="Arial" w:hAnsi="Arial" w:cs="Arial"/>
          <w:sz w:val="24"/>
        </w:rPr>
        <w:t>Baseline Personnel Security Standard – based on Basic Disclosure – 2 weeks;</w:t>
      </w:r>
    </w:p>
    <w:p w14:paraId="70F13C3A"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z w:val="24"/>
        </w:rPr>
      </w:pPr>
      <w:r>
        <w:rPr>
          <w:rFonts w:ascii="Arial" w:hAnsi="Arial" w:cs="Arial"/>
          <w:sz w:val="24"/>
        </w:rPr>
        <w:t>Baseline Personnel Security Standard – based on Standard Disclosure – 2 weeks;</w:t>
      </w:r>
    </w:p>
    <w:p w14:paraId="71A06E49"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z w:val="24"/>
        </w:rPr>
      </w:pPr>
      <w:r>
        <w:rPr>
          <w:rFonts w:ascii="Arial" w:hAnsi="Arial" w:cs="Arial"/>
          <w:sz w:val="24"/>
        </w:rPr>
        <w:t>Baseline Personnel Security Standard – based on Enhanced  Disclosure – 4 weeks; and / or</w:t>
      </w:r>
    </w:p>
    <w:p w14:paraId="32B3D20B"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napToGrid w:val="0"/>
          <w:sz w:val="24"/>
        </w:rPr>
      </w:pPr>
      <w:r>
        <w:rPr>
          <w:rFonts w:ascii="Arial" w:hAnsi="Arial" w:cs="Arial"/>
          <w:sz w:val="24"/>
        </w:rPr>
        <w:t>Counter Terrorist Check (CTC) - 16 weeks;</w:t>
      </w:r>
    </w:p>
    <w:p w14:paraId="378DBCA6"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napToGrid w:val="0"/>
          <w:sz w:val="24"/>
        </w:rPr>
      </w:pPr>
      <w:r>
        <w:rPr>
          <w:rFonts w:ascii="Arial" w:hAnsi="Arial" w:cs="Arial"/>
          <w:sz w:val="24"/>
        </w:rPr>
        <w:t>Security Check (SC) – 16 weeks</w:t>
      </w:r>
    </w:p>
    <w:p w14:paraId="538AFF2D" w14:textId="77777777" w:rsidR="00586084" w:rsidRPr="008F5FBB" w:rsidRDefault="00586084" w:rsidP="00586084">
      <w:pPr>
        <w:numPr>
          <w:ilvl w:val="1"/>
          <w:numId w:val="19"/>
        </w:numPr>
        <w:tabs>
          <w:tab w:val="clear" w:pos="2140"/>
          <w:tab w:val="num" w:pos="1260"/>
        </w:tabs>
        <w:spacing w:before="12" w:line="360" w:lineRule="auto"/>
        <w:ind w:left="1260"/>
        <w:jc w:val="both"/>
        <w:rPr>
          <w:rFonts w:ascii="Arial" w:hAnsi="Arial" w:cs="Arial"/>
          <w:snapToGrid w:val="0"/>
          <w:sz w:val="24"/>
        </w:rPr>
      </w:pPr>
      <w:r>
        <w:rPr>
          <w:rFonts w:ascii="Arial" w:hAnsi="Arial" w:cs="Arial"/>
          <w:snapToGrid w:val="0"/>
          <w:sz w:val="24"/>
        </w:rPr>
        <w:t>Developed Vetting (DV) – 24 weeks (depending on level of service required).</w:t>
      </w:r>
    </w:p>
    <w:p w14:paraId="166C3725" w14:textId="77777777" w:rsidR="00586084" w:rsidRPr="008F5FBB" w:rsidRDefault="00586084" w:rsidP="00586084">
      <w:pPr>
        <w:tabs>
          <w:tab w:val="left" w:pos="720"/>
          <w:tab w:val="num" w:pos="1260"/>
        </w:tabs>
        <w:spacing w:before="12" w:line="360" w:lineRule="auto"/>
        <w:ind w:left="1260" w:hanging="360"/>
        <w:jc w:val="both"/>
        <w:rPr>
          <w:rFonts w:ascii="Arial" w:hAnsi="Arial" w:cs="Arial"/>
          <w:snapToGrid w:val="0"/>
          <w:sz w:val="24"/>
        </w:rPr>
      </w:pPr>
    </w:p>
    <w:p w14:paraId="508C3918" w14:textId="0B90AB74" w:rsidR="00586084" w:rsidRPr="008F5FBB" w:rsidRDefault="00586084" w:rsidP="00586084">
      <w:pPr>
        <w:tabs>
          <w:tab w:val="left" w:pos="0"/>
        </w:tabs>
        <w:spacing w:before="12" w:line="360" w:lineRule="auto"/>
        <w:ind w:left="900"/>
        <w:jc w:val="both"/>
        <w:rPr>
          <w:rFonts w:ascii="Arial" w:hAnsi="Arial" w:cs="Arial"/>
          <w:sz w:val="24"/>
        </w:rPr>
      </w:pPr>
      <w:r>
        <w:rPr>
          <w:rFonts w:ascii="Arial" w:hAnsi="Arial" w:cs="Arial"/>
          <w:sz w:val="24"/>
        </w:rPr>
        <w:t>These periods are based on present indications from AccessNI and UK Security Vetting (UKSV)</w:t>
      </w:r>
      <w:r w:rsidR="007529A5">
        <w:rPr>
          <w:rFonts w:ascii="Arial" w:hAnsi="Arial" w:cs="Arial"/>
          <w:sz w:val="24"/>
        </w:rPr>
        <w:t xml:space="preserve"> to process requests</w:t>
      </w:r>
      <w:r>
        <w:rPr>
          <w:rFonts w:ascii="Arial" w:hAnsi="Arial" w:cs="Arial"/>
          <w:sz w:val="24"/>
        </w:rPr>
        <w:t>, but will depend on the contractor submitting the relevant information on a timely basis.</w:t>
      </w:r>
      <w:r w:rsidR="007529A5">
        <w:rPr>
          <w:rFonts w:ascii="Arial" w:hAnsi="Arial" w:cs="Arial"/>
          <w:sz w:val="24"/>
        </w:rPr>
        <w:t xml:space="preserve"> NICS HR </w:t>
      </w:r>
      <w:r w:rsidR="00904846">
        <w:rPr>
          <w:rFonts w:ascii="Arial" w:hAnsi="Arial" w:cs="Arial"/>
          <w:sz w:val="24"/>
        </w:rPr>
        <w:t>processing time is additional to above times.</w:t>
      </w:r>
      <w:r>
        <w:rPr>
          <w:rFonts w:ascii="Arial" w:hAnsi="Arial" w:cs="Arial"/>
          <w:sz w:val="24"/>
        </w:rPr>
        <w:t xml:space="preserve"> </w:t>
      </w:r>
    </w:p>
    <w:p w14:paraId="2E771F78" w14:textId="77777777" w:rsidR="00586084" w:rsidRPr="008F5FBB" w:rsidRDefault="00586084" w:rsidP="00586084">
      <w:pPr>
        <w:tabs>
          <w:tab w:val="left" w:pos="360"/>
        </w:tabs>
        <w:spacing w:before="12" w:line="360" w:lineRule="auto"/>
        <w:jc w:val="both"/>
        <w:rPr>
          <w:rFonts w:ascii="Arial" w:hAnsi="Arial" w:cs="Arial"/>
          <w:sz w:val="24"/>
        </w:rPr>
      </w:pPr>
    </w:p>
    <w:p w14:paraId="2AFEF897" w14:textId="77777777" w:rsidR="00586084" w:rsidRPr="008F5FBB" w:rsidRDefault="00586084" w:rsidP="001C0BB7">
      <w:pPr>
        <w:numPr>
          <w:ilvl w:val="0"/>
          <w:numId w:val="20"/>
        </w:numPr>
        <w:tabs>
          <w:tab w:val="clear" w:pos="1780"/>
          <w:tab w:val="num" w:pos="900"/>
          <w:tab w:val="num" w:pos="1276"/>
        </w:tabs>
        <w:spacing w:line="360" w:lineRule="auto"/>
        <w:ind w:left="900" w:hanging="49"/>
        <w:jc w:val="both"/>
        <w:rPr>
          <w:rFonts w:ascii="Arial" w:hAnsi="Arial" w:cs="Arial"/>
          <w:sz w:val="24"/>
        </w:rPr>
      </w:pPr>
      <w:r>
        <w:rPr>
          <w:rFonts w:ascii="Arial" w:hAnsi="Arial" w:cs="Arial"/>
          <w:sz w:val="24"/>
        </w:rPr>
        <w:t xml:space="preserve">Include </w:t>
      </w:r>
      <w:r>
        <w:rPr>
          <w:rFonts w:ascii="Arial" w:hAnsi="Arial" w:cs="Arial"/>
          <w:snapToGrid w:val="0"/>
          <w:sz w:val="24"/>
        </w:rPr>
        <w:t>statements</w:t>
      </w:r>
      <w:r>
        <w:rPr>
          <w:rFonts w:ascii="Arial" w:hAnsi="Arial" w:cs="Arial"/>
          <w:sz w:val="24"/>
        </w:rPr>
        <w:t xml:space="preserve"> in the letter of award of contract that the contractor – </w:t>
      </w:r>
    </w:p>
    <w:p w14:paraId="129382F6" w14:textId="77777777" w:rsidR="00586084" w:rsidRPr="00745CFD" w:rsidRDefault="00586084" w:rsidP="00586084">
      <w:pPr>
        <w:numPr>
          <w:ilvl w:val="1"/>
          <w:numId w:val="21"/>
        </w:numPr>
        <w:tabs>
          <w:tab w:val="clear" w:pos="360"/>
          <w:tab w:val="num" w:pos="1260"/>
        </w:tabs>
        <w:spacing w:before="12" w:line="360" w:lineRule="auto"/>
        <w:ind w:left="1260"/>
        <w:jc w:val="both"/>
        <w:rPr>
          <w:rFonts w:ascii="Arial" w:hAnsi="Arial" w:cs="Arial"/>
          <w:sz w:val="24"/>
        </w:rPr>
      </w:pPr>
      <w:r>
        <w:rPr>
          <w:rFonts w:ascii="Arial" w:hAnsi="Arial" w:cs="Arial"/>
          <w:sz w:val="24"/>
        </w:rPr>
        <w:t xml:space="preserve">Shall ensure that only those individuals (whether employed directly or as part of a sub-contract) whose security clearance has been confirmed to the contractor by DoF’s NICS HR, are permitted access to any site or undertake any work associated with the contract, along with appropriate </w:t>
      </w:r>
      <w:r w:rsidRPr="00745CFD">
        <w:rPr>
          <w:rFonts w:ascii="Arial" w:hAnsi="Arial" w:cs="Arial"/>
          <w:sz w:val="24"/>
        </w:rPr>
        <w:t>notification;</w:t>
      </w:r>
    </w:p>
    <w:p w14:paraId="4013E37F" w14:textId="61E491A8" w:rsidR="00586084" w:rsidRPr="008F5FBB" w:rsidRDefault="00586084" w:rsidP="00586084">
      <w:pPr>
        <w:numPr>
          <w:ilvl w:val="1"/>
          <w:numId w:val="21"/>
        </w:numPr>
        <w:tabs>
          <w:tab w:val="clear" w:pos="360"/>
          <w:tab w:val="num" w:pos="1260"/>
        </w:tabs>
        <w:spacing w:before="12" w:line="360" w:lineRule="auto"/>
        <w:ind w:left="1260"/>
        <w:jc w:val="both"/>
        <w:rPr>
          <w:rFonts w:ascii="Arial" w:hAnsi="Arial" w:cs="Arial"/>
          <w:sz w:val="24"/>
        </w:rPr>
      </w:pPr>
      <w:r w:rsidRPr="00745CFD">
        <w:rPr>
          <w:rFonts w:ascii="Arial" w:hAnsi="Arial" w:cs="Arial"/>
          <w:sz w:val="24"/>
        </w:rPr>
        <w:t>Shall contact NICS HR by e-mail at</w:t>
      </w:r>
      <w:r w:rsidR="00745CFD">
        <w:rPr>
          <w:rFonts w:ascii="Arial" w:hAnsi="Arial" w:cs="Arial"/>
          <w:sz w:val="24"/>
        </w:rPr>
        <w:t xml:space="preserve"> </w:t>
      </w:r>
      <w:hyperlink r:id="rId10" w:history="1">
        <w:r w:rsidR="00113057" w:rsidRPr="00745CFD">
          <w:rPr>
            <w:rStyle w:val="Hyperlink"/>
            <w:rFonts w:ascii="Arial" w:hAnsi="Arial" w:cs="Arial"/>
            <w:sz w:val="24"/>
          </w:rPr>
          <w:t>securityvetting@finance-ni.gov.uk</w:t>
        </w:r>
      </w:hyperlink>
      <w:r w:rsidR="00113057">
        <w:rPr>
          <w:color w:val="1F497D"/>
        </w:rPr>
        <w:t xml:space="preserve"> </w:t>
      </w:r>
      <w:r w:rsidRPr="006C4E81">
        <w:rPr>
          <w:rFonts w:ascii="Arial" w:hAnsi="Arial" w:cs="Arial"/>
          <w:sz w:val="24"/>
        </w:rPr>
        <w:t xml:space="preserve">to agree arrangements to take forward the security clearance process for the appropriate level of clearance; </w:t>
      </w:r>
    </w:p>
    <w:p w14:paraId="560B4797" w14:textId="77777777" w:rsidR="00586084" w:rsidRPr="008F5FBB" w:rsidRDefault="00586084" w:rsidP="00586084">
      <w:pPr>
        <w:numPr>
          <w:ilvl w:val="1"/>
          <w:numId w:val="21"/>
        </w:numPr>
        <w:spacing w:line="360" w:lineRule="auto"/>
        <w:ind w:left="1260"/>
        <w:jc w:val="both"/>
        <w:rPr>
          <w:rFonts w:ascii="Arial" w:hAnsi="Arial" w:cs="Arial"/>
          <w:sz w:val="24"/>
        </w:rPr>
      </w:pPr>
      <w:r w:rsidRPr="006C4E81">
        <w:rPr>
          <w:rFonts w:ascii="Arial" w:hAnsi="Arial" w:cs="Arial"/>
          <w:sz w:val="24"/>
        </w:rPr>
        <w:t>Advise on the estimated number of personnel to be checked.</w:t>
      </w:r>
    </w:p>
    <w:p w14:paraId="09C65E80" w14:textId="77777777" w:rsidR="00586084" w:rsidRPr="008F5FBB" w:rsidRDefault="00586084" w:rsidP="00586084">
      <w:pPr>
        <w:spacing w:line="360" w:lineRule="auto"/>
        <w:ind w:left="1260"/>
        <w:jc w:val="both"/>
        <w:rPr>
          <w:rFonts w:ascii="Arial" w:hAnsi="Arial" w:cs="Arial"/>
          <w:sz w:val="24"/>
        </w:rPr>
      </w:pPr>
    </w:p>
    <w:p w14:paraId="1A240488" w14:textId="61423F53" w:rsidR="00586084" w:rsidRPr="008F5FBB" w:rsidRDefault="00586084" w:rsidP="00586084">
      <w:pPr>
        <w:numPr>
          <w:ilvl w:val="1"/>
          <w:numId w:val="21"/>
        </w:numPr>
        <w:tabs>
          <w:tab w:val="left" w:pos="720"/>
        </w:tabs>
        <w:spacing w:before="12" w:line="360" w:lineRule="auto"/>
        <w:jc w:val="both"/>
        <w:rPr>
          <w:rFonts w:ascii="Arial" w:hAnsi="Arial" w:cs="Arial"/>
          <w:sz w:val="24"/>
        </w:rPr>
      </w:pPr>
      <w:r w:rsidRPr="006C4E81">
        <w:rPr>
          <w:rFonts w:ascii="Arial" w:hAnsi="Arial" w:cs="Arial"/>
          <w:snapToGrid w:val="0"/>
          <w:sz w:val="24"/>
        </w:rPr>
        <w:t xml:space="preserve">Advise the Client </w:t>
      </w:r>
      <w:r w:rsidRPr="006C4E81">
        <w:rPr>
          <w:rFonts w:ascii="Arial" w:hAnsi="Arial" w:cs="Arial"/>
          <w:bCs/>
          <w:snapToGrid w:val="0"/>
          <w:sz w:val="24"/>
        </w:rPr>
        <w:t xml:space="preserve">to notify </w:t>
      </w:r>
      <w:r w:rsidRPr="00745CFD">
        <w:rPr>
          <w:rFonts w:ascii="Arial" w:hAnsi="Arial" w:cs="Arial"/>
          <w:bCs/>
          <w:snapToGrid w:val="0"/>
          <w:sz w:val="24"/>
        </w:rPr>
        <w:t>NICS HR</w:t>
      </w:r>
      <w:r w:rsidRPr="00745CFD">
        <w:rPr>
          <w:rFonts w:ascii="Arial" w:hAnsi="Arial" w:cs="Arial"/>
          <w:snapToGrid w:val="0"/>
          <w:sz w:val="24"/>
        </w:rPr>
        <w:t xml:space="preserve"> </w:t>
      </w:r>
      <w:r w:rsidRPr="00745CFD">
        <w:rPr>
          <w:rFonts w:ascii="Arial" w:hAnsi="Arial" w:cs="Arial"/>
          <w:sz w:val="24"/>
        </w:rPr>
        <w:t xml:space="preserve">at </w:t>
      </w:r>
      <w:hyperlink r:id="rId11" w:history="1">
        <w:r w:rsidR="00113057" w:rsidRPr="00745CFD">
          <w:rPr>
            <w:rStyle w:val="Hyperlink"/>
            <w:rFonts w:ascii="Arial" w:hAnsi="Arial" w:cs="Arial"/>
            <w:sz w:val="24"/>
          </w:rPr>
          <w:t>securityvetting@finance-ni.gov.uk</w:t>
        </w:r>
      </w:hyperlink>
      <w:r w:rsidR="00745CFD" w:rsidRPr="00745CFD">
        <w:rPr>
          <w:rFonts w:ascii="Arial" w:hAnsi="Arial" w:cs="Arial"/>
          <w:color w:val="1F497D"/>
          <w:sz w:val="24"/>
        </w:rPr>
        <w:t xml:space="preserve"> </w:t>
      </w:r>
      <w:r w:rsidRPr="00745CFD">
        <w:rPr>
          <w:rFonts w:ascii="Arial" w:hAnsi="Arial" w:cs="Arial"/>
          <w:sz w:val="24"/>
        </w:rPr>
        <w:t>to info</w:t>
      </w:r>
      <w:r w:rsidRPr="006C4E81">
        <w:rPr>
          <w:rFonts w:ascii="Arial" w:hAnsi="Arial" w:cs="Arial"/>
          <w:sz w:val="24"/>
        </w:rPr>
        <w:t xml:space="preserve">rm them that a contract has been awarded which requires security clearance to be carried out.  </w:t>
      </w:r>
    </w:p>
    <w:p w14:paraId="72CE9970" w14:textId="77777777" w:rsidR="00586084" w:rsidRDefault="00586084" w:rsidP="00586084">
      <w:pPr>
        <w:tabs>
          <w:tab w:val="left" w:pos="720"/>
        </w:tabs>
        <w:snapToGrid w:val="0"/>
        <w:spacing w:line="360" w:lineRule="auto"/>
        <w:jc w:val="both"/>
        <w:outlineLvl w:val="0"/>
        <w:rPr>
          <w:rFonts w:ascii="Arial" w:hAnsi="Arial" w:cs="Arial"/>
          <w:b/>
          <w:bCs/>
          <w:sz w:val="24"/>
        </w:rPr>
      </w:pPr>
    </w:p>
    <w:p w14:paraId="7AE15B30" w14:textId="77777777" w:rsidR="00586084" w:rsidRPr="008F5FBB" w:rsidRDefault="00586084" w:rsidP="00586084">
      <w:pPr>
        <w:tabs>
          <w:tab w:val="left" w:pos="720"/>
        </w:tabs>
        <w:snapToGrid w:val="0"/>
        <w:spacing w:line="360" w:lineRule="auto"/>
        <w:jc w:val="both"/>
        <w:outlineLvl w:val="0"/>
        <w:rPr>
          <w:rFonts w:ascii="Arial" w:hAnsi="Arial" w:cs="Arial"/>
          <w:b/>
          <w:sz w:val="24"/>
        </w:rPr>
      </w:pPr>
      <w:r w:rsidRPr="006C4E81">
        <w:rPr>
          <w:rFonts w:ascii="Arial" w:hAnsi="Arial" w:cs="Arial"/>
          <w:b/>
          <w:bCs/>
          <w:sz w:val="24"/>
        </w:rPr>
        <w:t>Notification at Contract Award Stage</w:t>
      </w:r>
    </w:p>
    <w:p w14:paraId="32744A3B" w14:textId="77777777" w:rsidR="00586084" w:rsidRPr="008F5FBB" w:rsidRDefault="00586084" w:rsidP="00586084">
      <w:pPr>
        <w:tabs>
          <w:tab w:val="left" w:pos="540"/>
        </w:tabs>
        <w:snapToGrid w:val="0"/>
        <w:spacing w:line="360" w:lineRule="auto"/>
        <w:jc w:val="both"/>
        <w:rPr>
          <w:rFonts w:ascii="Arial" w:hAnsi="Arial" w:cs="Arial"/>
          <w:b/>
          <w:sz w:val="24"/>
        </w:rPr>
      </w:pPr>
    </w:p>
    <w:p w14:paraId="325094C6" w14:textId="2112A96B" w:rsidR="00586084" w:rsidRPr="008F5FBB" w:rsidRDefault="001C0BB7" w:rsidP="00586084">
      <w:pPr>
        <w:tabs>
          <w:tab w:val="left" w:pos="0"/>
        </w:tabs>
        <w:snapToGrid w:val="0"/>
        <w:spacing w:line="360" w:lineRule="auto"/>
        <w:ind w:left="567" w:hanging="567"/>
        <w:jc w:val="both"/>
        <w:rPr>
          <w:rFonts w:ascii="Arial" w:hAnsi="Arial" w:cs="Arial"/>
          <w:sz w:val="24"/>
        </w:rPr>
      </w:pPr>
      <w:r>
        <w:rPr>
          <w:rFonts w:ascii="Arial" w:hAnsi="Arial" w:cs="Arial"/>
          <w:sz w:val="24"/>
        </w:rPr>
        <w:t>10</w:t>
      </w:r>
      <w:r w:rsidR="00586084">
        <w:rPr>
          <w:rFonts w:ascii="Arial" w:hAnsi="Arial" w:cs="Arial"/>
          <w:sz w:val="24"/>
        </w:rPr>
        <w:t xml:space="preserve">.  </w:t>
      </w:r>
      <w:r w:rsidR="00586084" w:rsidRPr="006C4E81">
        <w:rPr>
          <w:rFonts w:ascii="Arial" w:hAnsi="Arial" w:cs="Arial"/>
          <w:sz w:val="24"/>
        </w:rPr>
        <w:t xml:space="preserve">SSD will complete the Handover Document which will include the details necessary to allow the Client to notify </w:t>
      </w:r>
      <w:r w:rsidR="00586084">
        <w:rPr>
          <w:rFonts w:ascii="Arial" w:hAnsi="Arial" w:cs="Arial"/>
          <w:sz w:val="24"/>
        </w:rPr>
        <w:t>NICS HR</w:t>
      </w:r>
      <w:r w:rsidR="00586084" w:rsidRPr="006C4E81">
        <w:rPr>
          <w:rFonts w:ascii="Arial" w:hAnsi="Arial" w:cs="Arial"/>
          <w:sz w:val="24"/>
        </w:rPr>
        <w:t xml:space="preserve"> with details of:-</w:t>
      </w:r>
    </w:p>
    <w:p w14:paraId="58683384" w14:textId="77777777" w:rsidR="00586084" w:rsidRPr="008F5FBB" w:rsidRDefault="00586084" w:rsidP="00586084">
      <w:pPr>
        <w:numPr>
          <w:ilvl w:val="1"/>
          <w:numId w:val="2"/>
        </w:numPr>
        <w:tabs>
          <w:tab w:val="clear" w:pos="1440"/>
          <w:tab w:val="left" w:pos="900"/>
        </w:tabs>
        <w:spacing w:before="12" w:line="360" w:lineRule="auto"/>
        <w:ind w:left="900"/>
        <w:jc w:val="both"/>
        <w:rPr>
          <w:rFonts w:ascii="Arial" w:hAnsi="Arial" w:cs="Arial"/>
          <w:sz w:val="24"/>
        </w:rPr>
      </w:pPr>
      <w:r w:rsidRPr="006C4E81">
        <w:rPr>
          <w:rFonts w:ascii="Arial" w:hAnsi="Arial" w:cs="Arial"/>
          <w:sz w:val="24"/>
        </w:rPr>
        <w:t>Project Title;</w:t>
      </w:r>
    </w:p>
    <w:p w14:paraId="308D22A6" w14:textId="77777777" w:rsidR="00586084" w:rsidRPr="008F5FBB" w:rsidRDefault="00586084" w:rsidP="00586084">
      <w:pPr>
        <w:numPr>
          <w:ilvl w:val="1"/>
          <w:numId w:val="2"/>
        </w:numPr>
        <w:tabs>
          <w:tab w:val="clear" w:pos="1440"/>
          <w:tab w:val="left" w:pos="900"/>
        </w:tabs>
        <w:spacing w:before="12" w:line="360" w:lineRule="auto"/>
        <w:ind w:left="900"/>
        <w:jc w:val="both"/>
        <w:rPr>
          <w:rFonts w:ascii="Arial" w:hAnsi="Arial" w:cs="Arial"/>
          <w:sz w:val="24"/>
        </w:rPr>
      </w:pPr>
      <w:r w:rsidRPr="006C4E81">
        <w:rPr>
          <w:rFonts w:ascii="Arial" w:hAnsi="Arial" w:cs="Arial"/>
          <w:sz w:val="24"/>
        </w:rPr>
        <w:t>Project Number as appropriate;</w:t>
      </w:r>
    </w:p>
    <w:p w14:paraId="31771006" w14:textId="77777777" w:rsidR="00586084" w:rsidRPr="008F5FBB" w:rsidRDefault="00586084" w:rsidP="00586084">
      <w:pPr>
        <w:numPr>
          <w:ilvl w:val="1"/>
          <w:numId w:val="2"/>
        </w:numPr>
        <w:tabs>
          <w:tab w:val="clear" w:pos="1440"/>
          <w:tab w:val="left" w:pos="900"/>
        </w:tabs>
        <w:spacing w:before="12" w:line="360" w:lineRule="auto"/>
        <w:ind w:left="900"/>
        <w:jc w:val="both"/>
        <w:rPr>
          <w:rFonts w:ascii="Arial" w:hAnsi="Arial" w:cs="Arial"/>
          <w:sz w:val="24"/>
        </w:rPr>
      </w:pPr>
      <w:r w:rsidRPr="006C4E81">
        <w:rPr>
          <w:rFonts w:ascii="Arial" w:hAnsi="Arial" w:cs="Arial"/>
          <w:sz w:val="24"/>
        </w:rPr>
        <w:lastRenderedPageBreak/>
        <w:t>Date contract commences;</w:t>
      </w:r>
    </w:p>
    <w:p w14:paraId="3FAE883A" w14:textId="77777777" w:rsidR="00586084" w:rsidRPr="008F5FBB" w:rsidRDefault="00586084" w:rsidP="00586084">
      <w:pPr>
        <w:numPr>
          <w:ilvl w:val="1"/>
          <w:numId w:val="2"/>
        </w:numPr>
        <w:tabs>
          <w:tab w:val="clear" w:pos="1440"/>
          <w:tab w:val="left" w:pos="900"/>
        </w:tabs>
        <w:spacing w:before="12" w:line="360" w:lineRule="auto"/>
        <w:ind w:left="900"/>
        <w:jc w:val="both"/>
        <w:rPr>
          <w:rFonts w:ascii="Arial" w:hAnsi="Arial" w:cs="Arial"/>
          <w:sz w:val="24"/>
        </w:rPr>
      </w:pPr>
      <w:r w:rsidRPr="006C4E81">
        <w:rPr>
          <w:rFonts w:ascii="Arial" w:hAnsi="Arial" w:cs="Arial"/>
          <w:sz w:val="24"/>
        </w:rPr>
        <w:t>Date contract expires;</w:t>
      </w:r>
    </w:p>
    <w:p w14:paraId="25ACEEF1" w14:textId="77777777" w:rsidR="00586084" w:rsidRPr="008F5FBB" w:rsidRDefault="00586084" w:rsidP="00586084">
      <w:pPr>
        <w:numPr>
          <w:ilvl w:val="1"/>
          <w:numId w:val="2"/>
        </w:numPr>
        <w:tabs>
          <w:tab w:val="clear" w:pos="1440"/>
          <w:tab w:val="left" w:pos="900"/>
        </w:tabs>
        <w:spacing w:before="12" w:line="360" w:lineRule="auto"/>
        <w:ind w:left="900" w:right="22"/>
        <w:jc w:val="both"/>
        <w:rPr>
          <w:rFonts w:ascii="Arial" w:hAnsi="Arial" w:cs="Arial"/>
          <w:sz w:val="24"/>
        </w:rPr>
      </w:pPr>
      <w:r w:rsidRPr="006C4E81">
        <w:rPr>
          <w:rFonts w:ascii="Arial" w:hAnsi="Arial" w:cs="Arial"/>
          <w:sz w:val="24"/>
        </w:rPr>
        <w:t>Contractor’s name, address and point of contact ;</w:t>
      </w:r>
    </w:p>
    <w:p w14:paraId="76574D2B" w14:textId="77777777" w:rsidR="00586084" w:rsidRPr="008F5FBB" w:rsidRDefault="00586084" w:rsidP="00586084">
      <w:pPr>
        <w:numPr>
          <w:ilvl w:val="1"/>
          <w:numId w:val="2"/>
        </w:numPr>
        <w:tabs>
          <w:tab w:val="clear" w:pos="1440"/>
          <w:tab w:val="left" w:pos="900"/>
        </w:tabs>
        <w:spacing w:before="12" w:line="360" w:lineRule="auto"/>
        <w:ind w:left="900" w:right="22"/>
        <w:jc w:val="both"/>
        <w:rPr>
          <w:rFonts w:ascii="Arial" w:hAnsi="Arial" w:cs="Arial"/>
          <w:sz w:val="24"/>
        </w:rPr>
      </w:pPr>
      <w:r w:rsidRPr="006C4E81">
        <w:rPr>
          <w:rFonts w:ascii="Arial" w:hAnsi="Arial" w:cs="Arial"/>
          <w:sz w:val="24"/>
        </w:rPr>
        <w:t>Proposed number of clearances required</w:t>
      </w:r>
    </w:p>
    <w:p w14:paraId="0E385E9D" w14:textId="77777777" w:rsidR="00586084" w:rsidRPr="008F5FBB" w:rsidRDefault="00586084" w:rsidP="00586084">
      <w:pPr>
        <w:tabs>
          <w:tab w:val="left" w:pos="360"/>
        </w:tabs>
        <w:spacing w:line="360" w:lineRule="auto"/>
        <w:jc w:val="both"/>
        <w:outlineLvl w:val="0"/>
        <w:rPr>
          <w:rFonts w:ascii="Arial" w:hAnsi="Arial" w:cs="Arial"/>
          <w:sz w:val="24"/>
        </w:rPr>
      </w:pPr>
    </w:p>
    <w:p w14:paraId="23926768" w14:textId="32E269F7" w:rsidR="00586084" w:rsidRPr="008F5FBB" w:rsidRDefault="00586084" w:rsidP="00586084">
      <w:pPr>
        <w:tabs>
          <w:tab w:val="left" w:pos="360"/>
        </w:tabs>
        <w:spacing w:line="360" w:lineRule="auto"/>
        <w:jc w:val="both"/>
        <w:outlineLvl w:val="0"/>
        <w:rPr>
          <w:rFonts w:ascii="Arial" w:hAnsi="Arial" w:cs="Arial"/>
          <w:sz w:val="24"/>
        </w:rPr>
      </w:pPr>
      <w:r w:rsidRPr="006C4E81">
        <w:rPr>
          <w:rFonts w:ascii="Arial" w:hAnsi="Arial" w:cs="Arial"/>
          <w:sz w:val="24"/>
        </w:rPr>
        <w:t xml:space="preserve">If a contract is extended </w:t>
      </w:r>
      <w:r>
        <w:rPr>
          <w:rFonts w:ascii="Arial" w:hAnsi="Arial" w:cs="Arial"/>
          <w:sz w:val="24"/>
        </w:rPr>
        <w:t xml:space="preserve">NICS HR </w:t>
      </w:r>
      <w:r w:rsidRPr="006C4E81">
        <w:rPr>
          <w:rFonts w:ascii="Arial" w:hAnsi="Arial" w:cs="Arial"/>
          <w:sz w:val="24"/>
        </w:rPr>
        <w:t xml:space="preserve">must </w:t>
      </w:r>
      <w:r w:rsidRPr="00745CFD">
        <w:rPr>
          <w:rFonts w:ascii="Arial" w:hAnsi="Arial" w:cs="Arial"/>
          <w:sz w:val="24"/>
        </w:rPr>
        <w:t xml:space="preserve">be notified by email to </w:t>
      </w:r>
      <w:hyperlink r:id="rId12" w:history="1">
        <w:r w:rsidR="00113057" w:rsidRPr="00745CFD">
          <w:rPr>
            <w:rStyle w:val="Hyperlink"/>
            <w:rFonts w:ascii="Arial" w:hAnsi="Arial" w:cs="Arial"/>
            <w:sz w:val="24"/>
          </w:rPr>
          <w:t>securityvetting@finance-ni.gov.uk</w:t>
        </w:r>
      </w:hyperlink>
      <w:r w:rsidR="00745CFD" w:rsidRPr="00745CFD">
        <w:rPr>
          <w:rFonts w:ascii="Arial" w:hAnsi="Arial" w:cs="Arial"/>
          <w:color w:val="1F497D"/>
          <w:sz w:val="24"/>
        </w:rPr>
        <w:t>.</w:t>
      </w:r>
    </w:p>
    <w:p w14:paraId="4295C75D" w14:textId="77777777" w:rsidR="00586084" w:rsidRDefault="00586084" w:rsidP="00586084">
      <w:pPr>
        <w:tabs>
          <w:tab w:val="left" w:pos="360"/>
        </w:tabs>
        <w:spacing w:line="360" w:lineRule="auto"/>
        <w:jc w:val="both"/>
        <w:outlineLvl w:val="0"/>
        <w:rPr>
          <w:rFonts w:ascii="Arial" w:hAnsi="Arial" w:cs="Arial"/>
          <w:sz w:val="24"/>
        </w:rPr>
      </w:pPr>
    </w:p>
    <w:p w14:paraId="070E18AD" w14:textId="77777777" w:rsidR="00586084" w:rsidRPr="008F5FBB" w:rsidRDefault="00586084" w:rsidP="00586084">
      <w:pPr>
        <w:tabs>
          <w:tab w:val="left" w:pos="360"/>
        </w:tabs>
        <w:spacing w:line="360" w:lineRule="auto"/>
        <w:jc w:val="both"/>
        <w:outlineLvl w:val="0"/>
        <w:rPr>
          <w:rFonts w:ascii="Arial" w:hAnsi="Arial" w:cs="Arial"/>
          <w:b/>
          <w:bCs/>
          <w:sz w:val="24"/>
          <w:lang w:val="en-US"/>
        </w:rPr>
      </w:pPr>
      <w:r w:rsidRPr="006C4E81">
        <w:rPr>
          <w:rFonts w:ascii="Arial" w:hAnsi="Arial" w:cs="Arial"/>
          <w:b/>
          <w:bCs/>
          <w:sz w:val="24"/>
          <w:lang w:val="en-US"/>
        </w:rPr>
        <w:t>Security Clearance must not be a Barrier to Procurement Opportunities</w:t>
      </w:r>
    </w:p>
    <w:p w14:paraId="42D548D0" w14:textId="77777777" w:rsidR="00586084" w:rsidRPr="008F5FBB" w:rsidRDefault="00586084" w:rsidP="00586084">
      <w:pPr>
        <w:tabs>
          <w:tab w:val="left" w:pos="3600"/>
        </w:tabs>
        <w:spacing w:line="360" w:lineRule="auto"/>
        <w:jc w:val="both"/>
        <w:rPr>
          <w:rFonts w:ascii="Arial" w:hAnsi="Arial" w:cs="Arial"/>
          <w:b/>
          <w:bCs/>
          <w:sz w:val="24"/>
          <w:lang w:val="en-US"/>
        </w:rPr>
      </w:pPr>
      <w:r w:rsidRPr="006C4E81">
        <w:rPr>
          <w:rFonts w:ascii="Arial" w:hAnsi="Arial" w:cs="Arial"/>
          <w:b/>
          <w:bCs/>
          <w:sz w:val="24"/>
          <w:lang w:val="en-US"/>
        </w:rPr>
        <w:tab/>
      </w:r>
    </w:p>
    <w:p w14:paraId="0B573499" w14:textId="0FC10F48" w:rsidR="00586084" w:rsidRPr="008F5FBB" w:rsidRDefault="001C0BB7" w:rsidP="00586084">
      <w:pPr>
        <w:tabs>
          <w:tab w:val="left" w:pos="540"/>
        </w:tabs>
        <w:snapToGrid w:val="0"/>
        <w:spacing w:line="360" w:lineRule="auto"/>
        <w:jc w:val="both"/>
        <w:rPr>
          <w:rFonts w:ascii="Arial" w:hAnsi="Arial" w:cs="Arial"/>
          <w:sz w:val="24"/>
          <w:lang w:val="en-US"/>
        </w:rPr>
      </w:pPr>
      <w:r>
        <w:rPr>
          <w:rFonts w:ascii="Arial" w:hAnsi="Arial" w:cs="Arial"/>
          <w:sz w:val="24"/>
          <w:lang w:val="en-US"/>
        </w:rPr>
        <w:t>11</w:t>
      </w:r>
      <w:r w:rsidR="00586084" w:rsidRPr="006C4E81">
        <w:rPr>
          <w:rFonts w:ascii="Arial" w:hAnsi="Arial" w:cs="Arial"/>
          <w:sz w:val="24"/>
          <w:lang w:val="en-US"/>
        </w:rPr>
        <w:t>.</w:t>
      </w:r>
      <w:r w:rsidR="00586084" w:rsidRPr="006C4E81">
        <w:rPr>
          <w:rFonts w:ascii="Arial" w:hAnsi="Arial" w:cs="Arial"/>
          <w:sz w:val="24"/>
          <w:lang w:val="en-US"/>
        </w:rPr>
        <w:tab/>
        <w:t>The Cabinet Office has issued guidance which advises that, for legal and policy reasons, security clearance cannot be carried out speculatively. This means that contractors (or individuals) should not be prompted to obtain security clearance unless they have been awarded a specific contract where security clearance is a genuine requirement.</w:t>
      </w:r>
    </w:p>
    <w:p w14:paraId="2B898DAD" w14:textId="77777777" w:rsidR="00586084" w:rsidRPr="008F5FBB" w:rsidRDefault="00586084" w:rsidP="00586084">
      <w:pPr>
        <w:tabs>
          <w:tab w:val="left" w:pos="540"/>
        </w:tabs>
        <w:spacing w:line="360" w:lineRule="auto"/>
        <w:ind w:left="540" w:hanging="540"/>
        <w:jc w:val="both"/>
        <w:rPr>
          <w:rFonts w:ascii="Arial" w:hAnsi="Arial" w:cs="Arial"/>
          <w:sz w:val="24"/>
          <w:lang w:val="en-US"/>
        </w:rPr>
      </w:pPr>
    </w:p>
    <w:p w14:paraId="570CF33F" w14:textId="068D0C68" w:rsidR="00586084" w:rsidRPr="008F5FBB" w:rsidRDefault="001C0BB7" w:rsidP="00586084">
      <w:pPr>
        <w:tabs>
          <w:tab w:val="left" w:pos="540"/>
        </w:tabs>
        <w:snapToGrid w:val="0"/>
        <w:spacing w:line="360" w:lineRule="auto"/>
        <w:jc w:val="both"/>
        <w:rPr>
          <w:rFonts w:ascii="Arial" w:hAnsi="Arial" w:cs="Arial"/>
          <w:bCs/>
          <w:sz w:val="24"/>
        </w:rPr>
      </w:pPr>
      <w:r>
        <w:rPr>
          <w:rFonts w:ascii="Arial" w:hAnsi="Arial" w:cs="Arial"/>
          <w:sz w:val="24"/>
          <w:lang w:val="en-US"/>
        </w:rPr>
        <w:t>12</w:t>
      </w:r>
      <w:r w:rsidR="00586084" w:rsidRPr="006C4E81">
        <w:rPr>
          <w:rFonts w:ascii="Arial" w:hAnsi="Arial" w:cs="Arial"/>
          <w:sz w:val="24"/>
          <w:lang w:val="en-US"/>
        </w:rPr>
        <w:t>.</w:t>
      </w:r>
      <w:r w:rsidR="00586084" w:rsidRPr="006C4E81">
        <w:rPr>
          <w:rFonts w:ascii="Arial" w:hAnsi="Arial" w:cs="Arial"/>
          <w:sz w:val="24"/>
          <w:lang w:val="en-US"/>
        </w:rPr>
        <w:tab/>
        <w:t xml:space="preserve">Project Managers must not attempt to make </w:t>
      </w:r>
      <w:r w:rsidR="00586084" w:rsidRPr="006C4E81">
        <w:rPr>
          <w:rFonts w:ascii="Arial" w:hAnsi="Arial" w:cs="Arial"/>
          <w:sz w:val="24"/>
        </w:rPr>
        <w:t xml:space="preserve">pre-existing security clearances a pre-requisite for a tenderer to apply for work, nor should this be employed as a means to attempt to reduce the overall length of the tendering process. </w:t>
      </w:r>
    </w:p>
    <w:p w14:paraId="51FB9090" w14:textId="77777777" w:rsidR="00745CFD" w:rsidRDefault="00745CFD" w:rsidP="00586084">
      <w:pPr>
        <w:tabs>
          <w:tab w:val="left" w:pos="360"/>
          <w:tab w:val="left" w:pos="720"/>
        </w:tabs>
        <w:spacing w:line="360" w:lineRule="auto"/>
        <w:jc w:val="both"/>
        <w:outlineLvl w:val="0"/>
        <w:rPr>
          <w:rFonts w:ascii="Arial" w:hAnsi="Arial" w:cs="Arial"/>
          <w:b/>
          <w:bCs/>
          <w:sz w:val="24"/>
        </w:rPr>
      </w:pPr>
    </w:p>
    <w:p w14:paraId="26DCAA14" w14:textId="77777777" w:rsidR="00586084" w:rsidRPr="008F5FBB" w:rsidRDefault="00586084" w:rsidP="00586084">
      <w:pPr>
        <w:tabs>
          <w:tab w:val="left" w:pos="360"/>
          <w:tab w:val="left" w:pos="720"/>
        </w:tabs>
        <w:spacing w:line="360" w:lineRule="auto"/>
        <w:jc w:val="both"/>
        <w:outlineLvl w:val="0"/>
        <w:rPr>
          <w:rFonts w:ascii="Arial" w:hAnsi="Arial" w:cs="Arial"/>
          <w:b/>
          <w:bCs/>
          <w:sz w:val="24"/>
        </w:rPr>
      </w:pPr>
      <w:r w:rsidRPr="006C4E81">
        <w:rPr>
          <w:rFonts w:ascii="Arial" w:hAnsi="Arial" w:cs="Arial"/>
          <w:b/>
          <w:bCs/>
          <w:sz w:val="24"/>
        </w:rPr>
        <w:t>General Requirements and Further Information</w:t>
      </w:r>
    </w:p>
    <w:p w14:paraId="7A759435" w14:textId="77777777" w:rsidR="00586084" w:rsidRPr="008F5FBB" w:rsidRDefault="00586084" w:rsidP="00586084">
      <w:pPr>
        <w:tabs>
          <w:tab w:val="left" w:pos="360"/>
          <w:tab w:val="left" w:pos="720"/>
        </w:tabs>
        <w:spacing w:line="360" w:lineRule="auto"/>
        <w:jc w:val="both"/>
        <w:rPr>
          <w:rFonts w:ascii="Arial" w:hAnsi="Arial" w:cs="Arial"/>
          <w:b/>
          <w:bCs/>
          <w:sz w:val="24"/>
        </w:rPr>
      </w:pPr>
    </w:p>
    <w:p w14:paraId="0BC3B862" w14:textId="630418AE" w:rsidR="00586084" w:rsidRDefault="001C0BB7" w:rsidP="00586084">
      <w:pPr>
        <w:tabs>
          <w:tab w:val="left" w:pos="540"/>
        </w:tabs>
        <w:snapToGrid w:val="0"/>
        <w:spacing w:line="360" w:lineRule="auto"/>
        <w:jc w:val="both"/>
        <w:rPr>
          <w:rFonts w:ascii="Arial" w:hAnsi="Arial" w:cs="Arial"/>
          <w:sz w:val="24"/>
        </w:rPr>
      </w:pPr>
      <w:r>
        <w:rPr>
          <w:rFonts w:ascii="Arial" w:hAnsi="Arial" w:cs="Arial"/>
          <w:sz w:val="24"/>
        </w:rPr>
        <w:t>13</w:t>
      </w:r>
      <w:r w:rsidR="00586084" w:rsidRPr="006C4E81">
        <w:rPr>
          <w:rFonts w:ascii="Arial" w:hAnsi="Arial" w:cs="Arial"/>
          <w:sz w:val="24"/>
        </w:rPr>
        <w:t>.</w:t>
      </w:r>
      <w:r w:rsidR="00586084" w:rsidRPr="006C4E81">
        <w:rPr>
          <w:rFonts w:ascii="Arial" w:hAnsi="Arial" w:cs="Arial"/>
          <w:sz w:val="24"/>
        </w:rPr>
        <w:tab/>
        <w:t xml:space="preserve">All information </w:t>
      </w:r>
      <w:r w:rsidR="00586084" w:rsidRPr="006C4E81">
        <w:rPr>
          <w:rFonts w:ascii="Arial" w:hAnsi="Arial" w:cs="Arial"/>
          <w:sz w:val="24"/>
          <w:lang w:val="en-US"/>
        </w:rPr>
        <w:t>relating</w:t>
      </w:r>
      <w:r w:rsidR="00586084" w:rsidRPr="006C4E81">
        <w:rPr>
          <w:rFonts w:ascii="Arial" w:hAnsi="Arial" w:cs="Arial"/>
          <w:sz w:val="24"/>
        </w:rPr>
        <w:t xml:space="preserve"> to security clearances must be dealt with in a confidential manner and any information related to personal data must be clearly marked and handled in accordance with the Data Protection Act</w:t>
      </w:r>
      <w:r w:rsidR="00586084">
        <w:rPr>
          <w:rFonts w:ascii="Arial" w:hAnsi="Arial" w:cs="Arial"/>
          <w:sz w:val="24"/>
        </w:rPr>
        <w:t xml:space="preserve"> and the AccessNI Code of Practice</w:t>
      </w:r>
    </w:p>
    <w:p w14:paraId="6E853648" w14:textId="77777777" w:rsidR="00586084" w:rsidRDefault="00586084" w:rsidP="00586084">
      <w:pPr>
        <w:tabs>
          <w:tab w:val="left" w:pos="540"/>
        </w:tabs>
        <w:snapToGrid w:val="0"/>
        <w:spacing w:line="360" w:lineRule="auto"/>
        <w:jc w:val="both"/>
        <w:rPr>
          <w:rFonts w:ascii="Arial" w:hAnsi="Arial" w:cs="Arial"/>
          <w:sz w:val="24"/>
        </w:rPr>
      </w:pPr>
    </w:p>
    <w:p w14:paraId="07804838" w14:textId="6D8E9B87" w:rsidR="00586084" w:rsidRPr="00B078DB" w:rsidRDefault="001C0BB7" w:rsidP="00586084">
      <w:pPr>
        <w:autoSpaceDE w:val="0"/>
        <w:autoSpaceDN w:val="0"/>
        <w:adjustRightInd w:val="0"/>
        <w:spacing w:line="360" w:lineRule="auto"/>
        <w:jc w:val="both"/>
        <w:rPr>
          <w:rFonts w:ascii="Arial" w:hAnsi="Arial" w:cs="Arial"/>
          <w:sz w:val="24"/>
        </w:rPr>
      </w:pPr>
      <w:r>
        <w:rPr>
          <w:rFonts w:ascii="Arial" w:hAnsi="Arial" w:cs="Arial"/>
          <w:sz w:val="24"/>
        </w:rPr>
        <w:t>14</w:t>
      </w:r>
      <w:r w:rsidR="00586084" w:rsidRPr="00B078DB">
        <w:rPr>
          <w:rFonts w:ascii="Arial" w:hAnsi="Arial" w:cs="Arial"/>
          <w:sz w:val="24"/>
        </w:rPr>
        <w:t>. The NICS has adopted the guidance principles for recruiting people with conflict–related convictions. Any conviction for a conflict-related offence that pre-dates the Good Friday Agreement (April 1998) should not be taken into account unless it is materially relevant to the employment being sought.</w:t>
      </w:r>
    </w:p>
    <w:p w14:paraId="48546B16" w14:textId="082CCDEB" w:rsidR="00586084" w:rsidRPr="008F5FBB" w:rsidRDefault="00586084" w:rsidP="00D64139">
      <w:pPr>
        <w:tabs>
          <w:tab w:val="left" w:pos="720"/>
        </w:tabs>
        <w:spacing w:line="360" w:lineRule="auto"/>
        <w:jc w:val="both"/>
        <w:outlineLvl w:val="0"/>
        <w:rPr>
          <w:rFonts w:ascii="Arial" w:hAnsi="Arial" w:cs="Arial"/>
          <w:sz w:val="24"/>
          <w:lang w:val="en-US"/>
        </w:rPr>
      </w:pPr>
    </w:p>
    <w:sectPr w:rsidR="00586084" w:rsidRPr="008F5FBB" w:rsidSect="00162AB9">
      <w:headerReference w:type="default" r:id="rId13"/>
      <w:footerReference w:type="even" r:id="rId14"/>
      <w:footerReference w:type="default" r:id="rId15"/>
      <w:footnotePr>
        <w:numStart w:val="4"/>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B994" w14:textId="77777777" w:rsidR="00B96720" w:rsidRDefault="00B96720">
      <w:r>
        <w:separator/>
      </w:r>
    </w:p>
  </w:endnote>
  <w:endnote w:type="continuationSeparator" w:id="0">
    <w:p w14:paraId="2924BB38" w14:textId="77777777" w:rsidR="00B96720" w:rsidRDefault="00B9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A394" w14:textId="77777777" w:rsidR="009D4464" w:rsidRDefault="0030794D" w:rsidP="00260A6A">
    <w:pPr>
      <w:pStyle w:val="Footer"/>
      <w:framePr w:wrap="around" w:vAnchor="text" w:hAnchor="margin" w:xAlign="right" w:y="1"/>
      <w:rPr>
        <w:rStyle w:val="PageNumber"/>
      </w:rPr>
    </w:pPr>
    <w:r>
      <w:rPr>
        <w:rStyle w:val="PageNumber"/>
      </w:rPr>
      <w:fldChar w:fldCharType="begin"/>
    </w:r>
    <w:r w:rsidR="009D4464">
      <w:rPr>
        <w:rStyle w:val="PageNumber"/>
      </w:rPr>
      <w:instrText xml:space="preserve">PAGE  </w:instrText>
    </w:r>
    <w:r>
      <w:rPr>
        <w:rStyle w:val="PageNumber"/>
      </w:rPr>
      <w:fldChar w:fldCharType="end"/>
    </w:r>
  </w:p>
  <w:p w14:paraId="54312B33" w14:textId="77777777" w:rsidR="009D4464" w:rsidRDefault="009D4464" w:rsidP="00260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01E3" w14:textId="1809F383" w:rsidR="009B55D5" w:rsidRDefault="0030794D" w:rsidP="00D025AF">
    <w:pPr>
      <w:pStyle w:val="Footer"/>
      <w:jc w:val="center"/>
    </w:pPr>
    <w:r>
      <w:fldChar w:fldCharType="begin"/>
    </w:r>
    <w:r w:rsidR="009B55D5">
      <w:instrText xml:space="preserve"> PAGE   \* MERGEFORMAT </w:instrText>
    </w:r>
    <w:r>
      <w:fldChar w:fldCharType="separate"/>
    </w:r>
    <w:r w:rsidR="005435C6">
      <w:rPr>
        <w:noProof/>
      </w:rPr>
      <w:t>1</w:t>
    </w:r>
    <w:r>
      <w:fldChar w:fldCharType="end"/>
    </w:r>
  </w:p>
  <w:p w14:paraId="7B986842" w14:textId="77777777" w:rsidR="00D025AF" w:rsidRDefault="00D025AF" w:rsidP="00D025AF">
    <w:pPr>
      <w:pStyle w:val="Footer"/>
      <w:jc w:val="center"/>
    </w:pPr>
  </w:p>
  <w:p w14:paraId="20E4A37D" w14:textId="77777777" w:rsidR="009D4464" w:rsidRDefault="009D4464" w:rsidP="00D0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BF528" w14:textId="77777777" w:rsidR="00B96720" w:rsidRDefault="00B96720">
      <w:r>
        <w:separator/>
      </w:r>
    </w:p>
  </w:footnote>
  <w:footnote w:type="continuationSeparator" w:id="0">
    <w:p w14:paraId="5F0BFC33" w14:textId="77777777" w:rsidR="00B96720" w:rsidRDefault="00B9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330B" w14:textId="77777777" w:rsidR="00B64887" w:rsidRDefault="00B64887" w:rsidP="00B64887">
    <w:pPr>
      <w:widowControl w:val="0"/>
      <w:tabs>
        <w:tab w:val="right" w:pos="9639"/>
      </w:tabs>
      <w:jc w:val="center"/>
      <w:rPr>
        <w:rFonts w:ascii="Arial" w:hAnsi="Arial"/>
        <w:b/>
        <w:snapToGrid w:val="0"/>
        <w:color w:val="000000"/>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979"/>
    <w:multiLevelType w:val="hybridMultilevel"/>
    <w:tmpl w:val="610A1B08"/>
    <w:lvl w:ilvl="0" w:tplc="2C6A4730">
      <w:start w:val="1"/>
      <w:numFmt w:val="bullet"/>
      <w:lvlText w:val=""/>
      <w:lvlJc w:val="left"/>
      <w:pPr>
        <w:tabs>
          <w:tab w:val="num" w:pos="360"/>
        </w:tabs>
        <w:ind w:left="360" w:hanging="360"/>
      </w:pPr>
      <w:rPr>
        <w:rFonts w:ascii="Wingdings" w:hAnsi="Wingdings" w:hint="default"/>
        <w:sz w:val="24"/>
        <w:szCs w:val="24"/>
      </w:rPr>
    </w:lvl>
    <w:lvl w:ilvl="1" w:tplc="08090001">
      <w:start w:val="1"/>
      <w:numFmt w:val="bullet"/>
      <w:lvlText w:val=""/>
      <w:lvlJc w:val="left"/>
      <w:pPr>
        <w:tabs>
          <w:tab w:val="num" w:pos="360"/>
        </w:tabs>
        <w:ind w:left="360" w:hanging="360"/>
      </w:pPr>
      <w:rPr>
        <w:rFonts w:ascii="Symbol" w:hAnsi="Symbol" w:hint="default"/>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37423F"/>
    <w:multiLevelType w:val="hybridMultilevel"/>
    <w:tmpl w:val="497A40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9464C7"/>
    <w:multiLevelType w:val="hybridMultilevel"/>
    <w:tmpl w:val="BDF26412"/>
    <w:lvl w:ilvl="0" w:tplc="2C6A4730">
      <w:start w:val="1"/>
      <w:numFmt w:val="bullet"/>
      <w:lvlText w:val=""/>
      <w:lvlJc w:val="left"/>
      <w:pPr>
        <w:tabs>
          <w:tab w:val="num" w:pos="360"/>
        </w:tabs>
        <w:ind w:left="360" w:hanging="36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2453B"/>
    <w:multiLevelType w:val="hybridMultilevel"/>
    <w:tmpl w:val="34D4242E"/>
    <w:lvl w:ilvl="0" w:tplc="2C6A4730">
      <w:start w:val="1"/>
      <w:numFmt w:val="bullet"/>
      <w:lvlText w:val=""/>
      <w:lvlJc w:val="left"/>
      <w:pPr>
        <w:tabs>
          <w:tab w:val="num" w:pos="360"/>
        </w:tabs>
        <w:ind w:left="360" w:hanging="360"/>
      </w:pPr>
      <w:rPr>
        <w:rFonts w:ascii="Wingdings" w:hAnsi="Wingdings" w:hint="default"/>
        <w:sz w:val="24"/>
        <w:szCs w:val="24"/>
      </w:rPr>
    </w:lvl>
    <w:lvl w:ilvl="1" w:tplc="08090005">
      <w:start w:val="1"/>
      <w:numFmt w:val="bullet"/>
      <w:lvlText w:val=""/>
      <w:lvlJc w:val="left"/>
      <w:pPr>
        <w:tabs>
          <w:tab w:val="num" w:pos="1440"/>
        </w:tabs>
        <w:ind w:left="1440" w:hanging="360"/>
      </w:pPr>
      <w:rPr>
        <w:rFonts w:ascii="Wingdings" w:hAnsi="Wingdings" w:hint="default"/>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246612"/>
    <w:multiLevelType w:val="hybridMultilevel"/>
    <w:tmpl w:val="3CFE3F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EC6B5A"/>
    <w:multiLevelType w:val="hybridMultilevel"/>
    <w:tmpl w:val="35901BE2"/>
    <w:lvl w:ilvl="0" w:tplc="2C6A4730">
      <w:start w:val="1"/>
      <w:numFmt w:val="bullet"/>
      <w:lvlText w:val=""/>
      <w:lvlJc w:val="left"/>
      <w:pPr>
        <w:tabs>
          <w:tab w:val="num" w:pos="720"/>
        </w:tabs>
        <w:ind w:left="720" w:hanging="360"/>
      </w:pPr>
      <w:rPr>
        <w:rFonts w:ascii="Wingdings" w:hAnsi="Wingdings" w:hint="default"/>
        <w:sz w:val="24"/>
        <w:szCs w:val="24"/>
      </w:rPr>
    </w:lvl>
    <w:lvl w:ilvl="1" w:tplc="08090003">
      <w:start w:val="1"/>
      <w:numFmt w:val="bullet"/>
      <w:lvlText w:val="o"/>
      <w:lvlJc w:val="left"/>
      <w:pPr>
        <w:tabs>
          <w:tab w:val="num" w:pos="360"/>
        </w:tabs>
        <w:ind w:left="360" w:hanging="360"/>
      </w:pPr>
      <w:rPr>
        <w:rFonts w:ascii="Courier New" w:hAnsi="Courier New" w:cs="Courier New" w:hint="default"/>
        <w:sz w:val="24"/>
        <w:szCs w:val="24"/>
      </w:rPr>
    </w:lvl>
    <w:lvl w:ilvl="2" w:tplc="08090005">
      <w:start w:val="1"/>
      <w:numFmt w:val="bullet"/>
      <w:lvlText w:val=""/>
      <w:lvlJc w:val="left"/>
      <w:pPr>
        <w:tabs>
          <w:tab w:val="num" w:pos="2106"/>
        </w:tabs>
        <w:ind w:left="2106" w:hanging="360"/>
      </w:pPr>
      <w:rPr>
        <w:rFonts w:ascii="Wingdings" w:hAnsi="Wingdings" w:hint="default"/>
      </w:rPr>
    </w:lvl>
    <w:lvl w:ilvl="3" w:tplc="08090001">
      <w:start w:val="1"/>
      <w:numFmt w:val="bullet"/>
      <w:lvlText w:val=""/>
      <w:lvlJc w:val="left"/>
      <w:pPr>
        <w:tabs>
          <w:tab w:val="num" w:pos="2826"/>
        </w:tabs>
        <w:ind w:left="2826" w:hanging="360"/>
      </w:pPr>
      <w:rPr>
        <w:rFonts w:ascii="Symbol" w:hAnsi="Symbol" w:hint="default"/>
      </w:rPr>
    </w:lvl>
    <w:lvl w:ilvl="4" w:tplc="08090003">
      <w:start w:val="1"/>
      <w:numFmt w:val="bullet"/>
      <w:lvlText w:val="o"/>
      <w:lvlJc w:val="left"/>
      <w:pPr>
        <w:tabs>
          <w:tab w:val="num" w:pos="3546"/>
        </w:tabs>
        <w:ind w:left="3546" w:hanging="360"/>
      </w:pPr>
      <w:rPr>
        <w:rFonts w:ascii="Courier New" w:hAnsi="Courier New" w:cs="Courier New" w:hint="default"/>
      </w:rPr>
    </w:lvl>
    <w:lvl w:ilvl="5" w:tplc="08090005">
      <w:start w:val="1"/>
      <w:numFmt w:val="bullet"/>
      <w:lvlText w:val=""/>
      <w:lvlJc w:val="left"/>
      <w:pPr>
        <w:tabs>
          <w:tab w:val="num" w:pos="4266"/>
        </w:tabs>
        <w:ind w:left="4266" w:hanging="360"/>
      </w:pPr>
      <w:rPr>
        <w:rFonts w:ascii="Wingdings" w:hAnsi="Wingdings" w:hint="default"/>
      </w:rPr>
    </w:lvl>
    <w:lvl w:ilvl="6" w:tplc="08090001">
      <w:start w:val="1"/>
      <w:numFmt w:val="bullet"/>
      <w:lvlText w:val=""/>
      <w:lvlJc w:val="left"/>
      <w:pPr>
        <w:tabs>
          <w:tab w:val="num" w:pos="4986"/>
        </w:tabs>
        <w:ind w:left="4986" w:hanging="360"/>
      </w:pPr>
      <w:rPr>
        <w:rFonts w:ascii="Symbol" w:hAnsi="Symbol" w:hint="default"/>
      </w:rPr>
    </w:lvl>
    <w:lvl w:ilvl="7" w:tplc="08090003">
      <w:start w:val="1"/>
      <w:numFmt w:val="decimal"/>
      <w:lvlText w:val="%8."/>
      <w:lvlJc w:val="left"/>
      <w:pPr>
        <w:tabs>
          <w:tab w:val="num" w:pos="5706"/>
        </w:tabs>
        <w:ind w:left="5706" w:hanging="360"/>
      </w:pPr>
    </w:lvl>
    <w:lvl w:ilvl="8" w:tplc="08090005">
      <w:start w:val="1"/>
      <w:numFmt w:val="decimal"/>
      <w:lvlText w:val="%9."/>
      <w:lvlJc w:val="left"/>
      <w:pPr>
        <w:tabs>
          <w:tab w:val="num" w:pos="6426"/>
        </w:tabs>
        <w:ind w:left="6426" w:hanging="360"/>
      </w:pPr>
    </w:lvl>
  </w:abstractNum>
  <w:abstractNum w:abstractNumId="6" w15:restartNumberingAfterBreak="0">
    <w:nsid w:val="279067E9"/>
    <w:multiLevelType w:val="hybridMultilevel"/>
    <w:tmpl w:val="328CA4EC"/>
    <w:lvl w:ilvl="0" w:tplc="648A892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B7E3420"/>
    <w:multiLevelType w:val="hybridMultilevel"/>
    <w:tmpl w:val="DC5EB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610C47"/>
    <w:multiLevelType w:val="hybridMultilevel"/>
    <w:tmpl w:val="69B270A2"/>
    <w:lvl w:ilvl="0" w:tplc="CC42943C">
      <w:start w:val="1"/>
      <w:numFmt w:val="decimal"/>
      <w:lvlText w:val="%1."/>
      <w:lvlJc w:val="left"/>
      <w:pPr>
        <w:tabs>
          <w:tab w:val="num" w:pos="927"/>
        </w:tabs>
        <w:ind w:left="851" w:hanging="284"/>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31D32FBB"/>
    <w:multiLevelType w:val="hybridMultilevel"/>
    <w:tmpl w:val="C2F6DEF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2407075"/>
    <w:multiLevelType w:val="hybridMultilevel"/>
    <w:tmpl w:val="1758DA2C"/>
    <w:lvl w:ilvl="0" w:tplc="08090001">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11" w15:restartNumberingAfterBreak="0">
    <w:nsid w:val="45AC0CCE"/>
    <w:multiLevelType w:val="hybridMultilevel"/>
    <w:tmpl w:val="DE642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01151"/>
    <w:multiLevelType w:val="hybridMultilevel"/>
    <w:tmpl w:val="FF96BB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16ED0"/>
    <w:multiLevelType w:val="hybridMultilevel"/>
    <w:tmpl w:val="ECF4F8B6"/>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E174C3"/>
    <w:multiLevelType w:val="hybridMultilevel"/>
    <w:tmpl w:val="8274268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F7801E9"/>
    <w:multiLevelType w:val="hybridMultilevel"/>
    <w:tmpl w:val="11D68E12"/>
    <w:lvl w:ilvl="0" w:tplc="EBFA7F1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7C67FC"/>
    <w:multiLevelType w:val="hybridMultilevel"/>
    <w:tmpl w:val="DF4E40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FF621D"/>
    <w:multiLevelType w:val="hybridMultilevel"/>
    <w:tmpl w:val="5A2E2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D55E1B"/>
    <w:multiLevelType w:val="hybridMultilevel"/>
    <w:tmpl w:val="C5247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6823E9"/>
    <w:multiLevelType w:val="hybridMultilevel"/>
    <w:tmpl w:val="C714EC64"/>
    <w:lvl w:ilvl="0" w:tplc="08090001">
      <w:start w:val="1"/>
      <w:numFmt w:val="bullet"/>
      <w:lvlText w:val=""/>
      <w:lvlJc w:val="left"/>
      <w:pPr>
        <w:tabs>
          <w:tab w:val="num" w:pos="720"/>
        </w:tabs>
        <w:ind w:left="720" w:hanging="360"/>
      </w:pPr>
      <w:rPr>
        <w:rFonts w:ascii="Symbol" w:hAnsi="Symbol" w:hint="default"/>
      </w:rPr>
    </w:lvl>
    <w:lvl w:ilvl="1" w:tplc="5C4C2AEC">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320A97"/>
    <w:multiLevelType w:val="hybridMultilevel"/>
    <w:tmpl w:val="32D8D0D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D57C81"/>
    <w:multiLevelType w:val="hybridMultilevel"/>
    <w:tmpl w:val="5A3AE666"/>
    <w:lvl w:ilvl="0" w:tplc="08090005">
      <w:start w:val="1"/>
      <w:numFmt w:val="bullet"/>
      <w:lvlText w:val=""/>
      <w:lvlJc w:val="left"/>
      <w:pPr>
        <w:tabs>
          <w:tab w:val="num" w:pos="1980"/>
        </w:tabs>
        <w:ind w:left="1980" w:hanging="360"/>
      </w:pPr>
      <w:rPr>
        <w:rFonts w:ascii="Wingdings"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hint="default"/>
      </w:rPr>
    </w:lvl>
    <w:lvl w:ilvl="3" w:tplc="0809000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62BB5C91"/>
    <w:multiLevelType w:val="hybridMultilevel"/>
    <w:tmpl w:val="E9064368"/>
    <w:lvl w:ilvl="0" w:tplc="08090001">
      <w:start w:val="1"/>
      <w:numFmt w:val="bullet"/>
      <w:lvlText w:val=""/>
      <w:lvlJc w:val="left"/>
      <w:pPr>
        <w:tabs>
          <w:tab w:val="num" w:pos="1780"/>
        </w:tabs>
        <w:ind w:left="178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23" w15:restartNumberingAfterBreak="0">
    <w:nsid w:val="64E20BEA"/>
    <w:multiLevelType w:val="hybridMultilevel"/>
    <w:tmpl w:val="5F62A8F6"/>
    <w:lvl w:ilvl="0" w:tplc="2C6A4730">
      <w:start w:val="1"/>
      <w:numFmt w:val="bullet"/>
      <w:lvlText w:val=""/>
      <w:lvlJc w:val="left"/>
      <w:pPr>
        <w:tabs>
          <w:tab w:val="num" w:pos="720"/>
        </w:tabs>
        <w:ind w:left="720" w:hanging="360"/>
      </w:pPr>
      <w:rPr>
        <w:rFonts w:ascii="Wingdings" w:hAnsi="Wingdings" w:hint="default"/>
        <w:sz w:val="24"/>
        <w:szCs w:val="24"/>
      </w:rPr>
    </w:lvl>
    <w:lvl w:ilvl="1" w:tplc="08090001">
      <w:start w:val="1"/>
      <w:numFmt w:val="bullet"/>
      <w:lvlText w:val=""/>
      <w:lvlJc w:val="left"/>
      <w:pPr>
        <w:tabs>
          <w:tab w:val="num" w:pos="360"/>
        </w:tabs>
        <w:ind w:left="360" w:hanging="360"/>
      </w:pPr>
      <w:rPr>
        <w:rFonts w:ascii="Symbol" w:hAnsi="Symbol" w:hint="default"/>
        <w:sz w:val="24"/>
        <w:szCs w:val="24"/>
      </w:rPr>
    </w:lvl>
    <w:lvl w:ilvl="2" w:tplc="08090005">
      <w:start w:val="1"/>
      <w:numFmt w:val="bullet"/>
      <w:lvlText w:val=""/>
      <w:lvlJc w:val="left"/>
      <w:pPr>
        <w:tabs>
          <w:tab w:val="num" w:pos="2106"/>
        </w:tabs>
        <w:ind w:left="2106" w:hanging="360"/>
      </w:pPr>
      <w:rPr>
        <w:rFonts w:ascii="Wingdings" w:hAnsi="Wingdings" w:hint="default"/>
      </w:rPr>
    </w:lvl>
    <w:lvl w:ilvl="3" w:tplc="08090001">
      <w:start w:val="1"/>
      <w:numFmt w:val="bullet"/>
      <w:lvlText w:val=""/>
      <w:lvlJc w:val="left"/>
      <w:pPr>
        <w:tabs>
          <w:tab w:val="num" w:pos="2826"/>
        </w:tabs>
        <w:ind w:left="2826" w:hanging="360"/>
      </w:pPr>
      <w:rPr>
        <w:rFonts w:ascii="Symbol" w:hAnsi="Symbol" w:hint="default"/>
      </w:rPr>
    </w:lvl>
    <w:lvl w:ilvl="4" w:tplc="08090003">
      <w:start w:val="1"/>
      <w:numFmt w:val="bullet"/>
      <w:lvlText w:val="o"/>
      <w:lvlJc w:val="left"/>
      <w:pPr>
        <w:tabs>
          <w:tab w:val="num" w:pos="3546"/>
        </w:tabs>
        <w:ind w:left="3546" w:hanging="360"/>
      </w:pPr>
      <w:rPr>
        <w:rFonts w:ascii="Courier New" w:hAnsi="Courier New" w:cs="Courier New" w:hint="default"/>
      </w:rPr>
    </w:lvl>
    <w:lvl w:ilvl="5" w:tplc="08090005">
      <w:start w:val="1"/>
      <w:numFmt w:val="bullet"/>
      <w:lvlText w:val=""/>
      <w:lvlJc w:val="left"/>
      <w:pPr>
        <w:tabs>
          <w:tab w:val="num" w:pos="4266"/>
        </w:tabs>
        <w:ind w:left="4266" w:hanging="360"/>
      </w:pPr>
      <w:rPr>
        <w:rFonts w:ascii="Wingdings" w:hAnsi="Wingdings" w:hint="default"/>
      </w:rPr>
    </w:lvl>
    <w:lvl w:ilvl="6" w:tplc="08090001">
      <w:start w:val="1"/>
      <w:numFmt w:val="bullet"/>
      <w:lvlText w:val=""/>
      <w:lvlJc w:val="left"/>
      <w:pPr>
        <w:tabs>
          <w:tab w:val="num" w:pos="4986"/>
        </w:tabs>
        <w:ind w:left="4986" w:hanging="360"/>
      </w:pPr>
      <w:rPr>
        <w:rFonts w:ascii="Symbol" w:hAnsi="Symbol" w:hint="default"/>
      </w:rPr>
    </w:lvl>
    <w:lvl w:ilvl="7" w:tplc="08090003">
      <w:start w:val="1"/>
      <w:numFmt w:val="decimal"/>
      <w:lvlText w:val="%8."/>
      <w:lvlJc w:val="left"/>
      <w:pPr>
        <w:tabs>
          <w:tab w:val="num" w:pos="5706"/>
        </w:tabs>
        <w:ind w:left="5706" w:hanging="360"/>
      </w:pPr>
    </w:lvl>
    <w:lvl w:ilvl="8" w:tplc="08090005">
      <w:start w:val="1"/>
      <w:numFmt w:val="decimal"/>
      <w:lvlText w:val="%9."/>
      <w:lvlJc w:val="left"/>
      <w:pPr>
        <w:tabs>
          <w:tab w:val="num" w:pos="6426"/>
        </w:tabs>
        <w:ind w:left="6426" w:hanging="360"/>
      </w:pPr>
    </w:lvl>
  </w:abstractNum>
  <w:abstractNum w:abstractNumId="24" w15:restartNumberingAfterBreak="0">
    <w:nsid w:val="67474DD1"/>
    <w:multiLevelType w:val="hybridMultilevel"/>
    <w:tmpl w:val="269C8B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80C68D8"/>
    <w:multiLevelType w:val="hybridMultilevel"/>
    <w:tmpl w:val="CCFA16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15:restartNumberingAfterBreak="0">
    <w:nsid w:val="684A3EE7"/>
    <w:multiLevelType w:val="hybridMultilevel"/>
    <w:tmpl w:val="E7009A02"/>
    <w:lvl w:ilvl="0" w:tplc="08090005">
      <w:start w:val="1"/>
      <w:numFmt w:val="bullet"/>
      <w:lvlText w:val=""/>
      <w:lvlJc w:val="left"/>
      <w:pPr>
        <w:tabs>
          <w:tab w:val="num" w:pos="1620"/>
        </w:tabs>
        <w:ind w:left="1620" w:hanging="360"/>
      </w:pPr>
      <w:rPr>
        <w:rFonts w:ascii="Wingdings" w:hAnsi="Wingdings"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C4B516F"/>
    <w:multiLevelType w:val="hybridMultilevel"/>
    <w:tmpl w:val="7440531C"/>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70D55EDE"/>
    <w:multiLevelType w:val="hybridMultilevel"/>
    <w:tmpl w:val="F19CB862"/>
    <w:lvl w:ilvl="0" w:tplc="08090001">
      <w:start w:val="1"/>
      <w:numFmt w:val="bullet"/>
      <w:lvlText w:val=""/>
      <w:lvlJc w:val="left"/>
      <w:pPr>
        <w:tabs>
          <w:tab w:val="num" w:pos="1420"/>
        </w:tabs>
        <w:ind w:left="14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6AE346C"/>
    <w:multiLevelType w:val="hybridMultilevel"/>
    <w:tmpl w:val="A776DA56"/>
    <w:lvl w:ilvl="0" w:tplc="5C4C2AEC">
      <w:start w:val="1"/>
      <w:numFmt w:val="decimal"/>
      <w:lvlText w:val="%1."/>
      <w:lvlJc w:val="left"/>
      <w:pPr>
        <w:tabs>
          <w:tab w:val="num" w:pos="1440"/>
        </w:tabs>
        <w:ind w:left="14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10E39"/>
    <w:multiLevelType w:val="hybridMultilevel"/>
    <w:tmpl w:val="90B8716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800"/>
        </w:tabs>
        <w:ind w:left="180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B6F2524"/>
    <w:multiLevelType w:val="hybridMultilevel"/>
    <w:tmpl w:val="F6DA9B5E"/>
    <w:lvl w:ilvl="0" w:tplc="08090001">
      <w:start w:val="1"/>
      <w:numFmt w:val="bullet"/>
      <w:lvlText w:val=""/>
      <w:lvlJc w:val="left"/>
      <w:pPr>
        <w:tabs>
          <w:tab w:val="num" w:pos="1420"/>
        </w:tabs>
        <w:ind w:left="1420" w:hanging="360"/>
      </w:pPr>
      <w:rPr>
        <w:rFonts w:ascii="Symbol" w:hAnsi="Symbol" w:hint="default"/>
      </w:rPr>
    </w:lvl>
    <w:lvl w:ilvl="1" w:tplc="08090005">
      <w:start w:val="1"/>
      <w:numFmt w:val="bullet"/>
      <w:lvlText w:val=""/>
      <w:lvlJc w:val="left"/>
      <w:pPr>
        <w:tabs>
          <w:tab w:val="num" w:pos="2140"/>
        </w:tabs>
        <w:ind w:left="2140" w:hanging="360"/>
      </w:pPr>
      <w:rPr>
        <w:rFonts w:ascii="Wingdings" w:hAnsi="Wingdings"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32" w15:restartNumberingAfterBreak="0">
    <w:nsid w:val="7E780E0F"/>
    <w:multiLevelType w:val="hybridMultilevel"/>
    <w:tmpl w:val="6AB4DF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2"/>
  </w:num>
  <w:num w:numId="3">
    <w:abstractNumId w:val="3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6"/>
  </w:num>
  <w:num w:numId="8">
    <w:abstractNumId w:val="8"/>
  </w:num>
  <w:num w:numId="9">
    <w:abstractNumId w:val="27"/>
  </w:num>
  <w:num w:numId="10">
    <w:abstractNumId w:val="9"/>
  </w:num>
  <w:num w:numId="11">
    <w:abstractNumId w:val="5"/>
  </w:num>
  <w:num w:numId="12">
    <w:abstractNumId w:val="23"/>
  </w:num>
  <w:num w:numId="13">
    <w:abstractNumId w:val="29"/>
  </w:num>
  <w:num w:numId="14">
    <w:abstractNumId w:val="19"/>
  </w:num>
  <w:num w:numId="15">
    <w:abstractNumId w:val="12"/>
  </w:num>
  <w:num w:numId="16">
    <w:abstractNumId w:val="21"/>
  </w:num>
  <w:num w:numId="17">
    <w:abstractNumId w:val="26"/>
  </w:num>
  <w:num w:numId="18">
    <w:abstractNumId w:val="10"/>
  </w:num>
  <w:num w:numId="19">
    <w:abstractNumId w:val="31"/>
  </w:num>
  <w:num w:numId="20">
    <w:abstractNumId w:val="22"/>
  </w:num>
  <w:num w:numId="21">
    <w:abstractNumId w:val="0"/>
  </w:num>
  <w:num w:numId="22">
    <w:abstractNumId w:val="4"/>
  </w:num>
  <w:num w:numId="23">
    <w:abstractNumId w:val="3"/>
  </w:num>
  <w:num w:numId="24">
    <w:abstractNumId w:val="1"/>
  </w:num>
  <w:num w:numId="25">
    <w:abstractNumId w:val="20"/>
  </w:num>
  <w:num w:numId="26">
    <w:abstractNumId w:val="13"/>
  </w:num>
  <w:num w:numId="27">
    <w:abstractNumId w:val="7"/>
  </w:num>
  <w:num w:numId="28">
    <w:abstractNumId w:val="14"/>
  </w:num>
  <w:num w:numId="29">
    <w:abstractNumId w:val="11"/>
  </w:num>
  <w:num w:numId="30">
    <w:abstractNumId w:val="17"/>
  </w:num>
  <w:num w:numId="31">
    <w:abstractNumId w:val="25"/>
  </w:num>
  <w:num w:numId="32">
    <w:abstractNumId w:val="15"/>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numStart w:val="4"/>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619"/>
    <w:rsid w:val="00003893"/>
    <w:rsid w:val="000049BE"/>
    <w:rsid w:val="00013AF2"/>
    <w:rsid w:val="00014FB1"/>
    <w:rsid w:val="0002024E"/>
    <w:rsid w:val="00022A34"/>
    <w:rsid w:val="000325ED"/>
    <w:rsid w:val="00034534"/>
    <w:rsid w:val="00044866"/>
    <w:rsid w:val="00046BB7"/>
    <w:rsid w:val="000610B6"/>
    <w:rsid w:val="00072048"/>
    <w:rsid w:val="00082055"/>
    <w:rsid w:val="000826A2"/>
    <w:rsid w:val="000A0A65"/>
    <w:rsid w:val="000A4017"/>
    <w:rsid w:val="000A4AB8"/>
    <w:rsid w:val="000B09AB"/>
    <w:rsid w:val="000B1CEB"/>
    <w:rsid w:val="000B2C43"/>
    <w:rsid w:val="000C11DC"/>
    <w:rsid w:val="000D2D0D"/>
    <w:rsid w:val="000D44BC"/>
    <w:rsid w:val="000D4A09"/>
    <w:rsid w:val="000E5107"/>
    <w:rsid w:val="000F0626"/>
    <w:rsid w:val="000F58FC"/>
    <w:rsid w:val="00101376"/>
    <w:rsid w:val="00105EF1"/>
    <w:rsid w:val="00111832"/>
    <w:rsid w:val="00113057"/>
    <w:rsid w:val="00114F0E"/>
    <w:rsid w:val="00122001"/>
    <w:rsid w:val="001225DB"/>
    <w:rsid w:val="00125C37"/>
    <w:rsid w:val="0014007F"/>
    <w:rsid w:val="00156EAC"/>
    <w:rsid w:val="00157F8A"/>
    <w:rsid w:val="00161844"/>
    <w:rsid w:val="00162AB9"/>
    <w:rsid w:val="00165F1F"/>
    <w:rsid w:val="0017138E"/>
    <w:rsid w:val="00175710"/>
    <w:rsid w:val="00180A12"/>
    <w:rsid w:val="0018541C"/>
    <w:rsid w:val="00187EEC"/>
    <w:rsid w:val="00190016"/>
    <w:rsid w:val="00193067"/>
    <w:rsid w:val="00195285"/>
    <w:rsid w:val="001A3273"/>
    <w:rsid w:val="001A50F6"/>
    <w:rsid w:val="001B1FB7"/>
    <w:rsid w:val="001B326A"/>
    <w:rsid w:val="001B53D9"/>
    <w:rsid w:val="001B71AA"/>
    <w:rsid w:val="001C0BB7"/>
    <w:rsid w:val="001C192C"/>
    <w:rsid w:val="001D0CBD"/>
    <w:rsid w:val="001D271D"/>
    <w:rsid w:val="001D2A61"/>
    <w:rsid w:val="001E06FB"/>
    <w:rsid w:val="00201AB2"/>
    <w:rsid w:val="00210CA3"/>
    <w:rsid w:val="002130A1"/>
    <w:rsid w:val="00214B2C"/>
    <w:rsid w:val="00233554"/>
    <w:rsid w:val="00250C01"/>
    <w:rsid w:val="00251E99"/>
    <w:rsid w:val="002560C7"/>
    <w:rsid w:val="00260A6A"/>
    <w:rsid w:val="00275E01"/>
    <w:rsid w:val="002A3F5D"/>
    <w:rsid w:val="002A48CA"/>
    <w:rsid w:val="002B387B"/>
    <w:rsid w:val="002C6C31"/>
    <w:rsid w:val="002D2C00"/>
    <w:rsid w:val="002E53B8"/>
    <w:rsid w:val="002F330F"/>
    <w:rsid w:val="002F73A3"/>
    <w:rsid w:val="002F7AD3"/>
    <w:rsid w:val="0030794D"/>
    <w:rsid w:val="00316F85"/>
    <w:rsid w:val="00321EFB"/>
    <w:rsid w:val="00326A5B"/>
    <w:rsid w:val="00334B22"/>
    <w:rsid w:val="00334E6E"/>
    <w:rsid w:val="00337025"/>
    <w:rsid w:val="00345843"/>
    <w:rsid w:val="00351C67"/>
    <w:rsid w:val="003561BB"/>
    <w:rsid w:val="00356C45"/>
    <w:rsid w:val="00361619"/>
    <w:rsid w:val="00365056"/>
    <w:rsid w:val="00372BF3"/>
    <w:rsid w:val="0038031C"/>
    <w:rsid w:val="003849C2"/>
    <w:rsid w:val="003854B6"/>
    <w:rsid w:val="00392276"/>
    <w:rsid w:val="0039344F"/>
    <w:rsid w:val="003A6654"/>
    <w:rsid w:val="003B6D71"/>
    <w:rsid w:val="003E32E5"/>
    <w:rsid w:val="003E69CF"/>
    <w:rsid w:val="003E737B"/>
    <w:rsid w:val="003F2374"/>
    <w:rsid w:val="003F3F6F"/>
    <w:rsid w:val="003F623E"/>
    <w:rsid w:val="00412E09"/>
    <w:rsid w:val="0042413A"/>
    <w:rsid w:val="00425CAF"/>
    <w:rsid w:val="00435B3C"/>
    <w:rsid w:val="00437C83"/>
    <w:rsid w:val="004423F6"/>
    <w:rsid w:val="004712DB"/>
    <w:rsid w:val="0047659D"/>
    <w:rsid w:val="00482565"/>
    <w:rsid w:val="004852D4"/>
    <w:rsid w:val="004862CA"/>
    <w:rsid w:val="00490FA9"/>
    <w:rsid w:val="004911FF"/>
    <w:rsid w:val="0049364B"/>
    <w:rsid w:val="00494186"/>
    <w:rsid w:val="004A0004"/>
    <w:rsid w:val="004A368A"/>
    <w:rsid w:val="004A41AA"/>
    <w:rsid w:val="004A5F98"/>
    <w:rsid w:val="004A70B6"/>
    <w:rsid w:val="004B48B2"/>
    <w:rsid w:val="004B5EE6"/>
    <w:rsid w:val="004B6DC9"/>
    <w:rsid w:val="004D2B4C"/>
    <w:rsid w:val="004D44DB"/>
    <w:rsid w:val="004D663B"/>
    <w:rsid w:val="004E6FDB"/>
    <w:rsid w:val="004F093E"/>
    <w:rsid w:val="004F4333"/>
    <w:rsid w:val="0050453A"/>
    <w:rsid w:val="00517D70"/>
    <w:rsid w:val="005206C0"/>
    <w:rsid w:val="005243F7"/>
    <w:rsid w:val="00531F6F"/>
    <w:rsid w:val="005435C6"/>
    <w:rsid w:val="0056162D"/>
    <w:rsid w:val="005616F1"/>
    <w:rsid w:val="00585667"/>
    <w:rsid w:val="00586084"/>
    <w:rsid w:val="00590F34"/>
    <w:rsid w:val="00593B04"/>
    <w:rsid w:val="00596476"/>
    <w:rsid w:val="005B78C9"/>
    <w:rsid w:val="005D46C3"/>
    <w:rsid w:val="005D5523"/>
    <w:rsid w:val="005E036B"/>
    <w:rsid w:val="005E3F7C"/>
    <w:rsid w:val="005E5202"/>
    <w:rsid w:val="005F176A"/>
    <w:rsid w:val="005F1CBB"/>
    <w:rsid w:val="005F2111"/>
    <w:rsid w:val="005F7701"/>
    <w:rsid w:val="00602C82"/>
    <w:rsid w:val="0061034E"/>
    <w:rsid w:val="006155EF"/>
    <w:rsid w:val="00636E0B"/>
    <w:rsid w:val="00637989"/>
    <w:rsid w:val="00644C1F"/>
    <w:rsid w:val="00651B0E"/>
    <w:rsid w:val="00662BE5"/>
    <w:rsid w:val="00663D7A"/>
    <w:rsid w:val="00676ABD"/>
    <w:rsid w:val="00677B4A"/>
    <w:rsid w:val="006960F5"/>
    <w:rsid w:val="006A1B19"/>
    <w:rsid w:val="006A55B7"/>
    <w:rsid w:val="006B15B7"/>
    <w:rsid w:val="006B2C22"/>
    <w:rsid w:val="006B4A3A"/>
    <w:rsid w:val="006C4AB4"/>
    <w:rsid w:val="006C5A58"/>
    <w:rsid w:val="006C5A86"/>
    <w:rsid w:val="006D31C5"/>
    <w:rsid w:val="006D6CF2"/>
    <w:rsid w:val="006E49C4"/>
    <w:rsid w:val="006E7050"/>
    <w:rsid w:val="006F2379"/>
    <w:rsid w:val="006F3253"/>
    <w:rsid w:val="0070612F"/>
    <w:rsid w:val="007109F6"/>
    <w:rsid w:val="00712EE8"/>
    <w:rsid w:val="007309DC"/>
    <w:rsid w:val="00731157"/>
    <w:rsid w:val="007315AB"/>
    <w:rsid w:val="00734334"/>
    <w:rsid w:val="00745977"/>
    <w:rsid w:val="00745CFD"/>
    <w:rsid w:val="0074733E"/>
    <w:rsid w:val="00750486"/>
    <w:rsid w:val="007505B6"/>
    <w:rsid w:val="007529A5"/>
    <w:rsid w:val="007605BF"/>
    <w:rsid w:val="00762D29"/>
    <w:rsid w:val="007661E4"/>
    <w:rsid w:val="00767B01"/>
    <w:rsid w:val="00782D0F"/>
    <w:rsid w:val="00785184"/>
    <w:rsid w:val="00790E23"/>
    <w:rsid w:val="00790E98"/>
    <w:rsid w:val="0079634B"/>
    <w:rsid w:val="007A1AEB"/>
    <w:rsid w:val="007B49F0"/>
    <w:rsid w:val="007B5D05"/>
    <w:rsid w:val="007B659C"/>
    <w:rsid w:val="007C5EA0"/>
    <w:rsid w:val="007D3960"/>
    <w:rsid w:val="007D7F01"/>
    <w:rsid w:val="007E36E3"/>
    <w:rsid w:val="007F606B"/>
    <w:rsid w:val="00813842"/>
    <w:rsid w:val="008154D1"/>
    <w:rsid w:val="0082088D"/>
    <w:rsid w:val="00822908"/>
    <w:rsid w:val="00835174"/>
    <w:rsid w:val="00843751"/>
    <w:rsid w:val="008568F0"/>
    <w:rsid w:val="00867C98"/>
    <w:rsid w:val="00867E9D"/>
    <w:rsid w:val="00874396"/>
    <w:rsid w:val="00874A0C"/>
    <w:rsid w:val="00880D45"/>
    <w:rsid w:val="00883A91"/>
    <w:rsid w:val="00885F7F"/>
    <w:rsid w:val="00887C1F"/>
    <w:rsid w:val="00892FA7"/>
    <w:rsid w:val="008A7DE7"/>
    <w:rsid w:val="008B1B23"/>
    <w:rsid w:val="008C200A"/>
    <w:rsid w:val="008D21A9"/>
    <w:rsid w:val="008D55E8"/>
    <w:rsid w:val="008D6FBA"/>
    <w:rsid w:val="008D75E4"/>
    <w:rsid w:val="008E05B3"/>
    <w:rsid w:val="008E601C"/>
    <w:rsid w:val="008E6B46"/>
    <w:rsid w:val="008E6ECE"/>
    <w:rsid w:val="008F5FBB"/>
    <w:rsid w:val="00900FD7"/>
    <w:rsid w:val="009026B7"/>
    <w:rsid w:val="00904846"/>
    <w:rsid w:val="009105CF"/>
    <w:rsid w:val="00922B46"/>
    <w:rsid w:val="009235CD"/>
    <w:rsid w:val="0092462E"/>
    <w:rsid w:val="00927990"/>
    <w:rsid w:val="00934892"/>
    <w:rsid w:val="00937EA5"/>
    <w:rsid w:val="009433A3"/>
    <w:rsid w:val="009444C4"/>
    <w:rsid w:val="0095572F"/>
    <w:rsid w:val="0095708D"/>
    <w:rsid w:val="00971982"/>
    <w:rsid w:val="0099188A"/>
    <w:rsid w:val="0099619D"/>
    <w:rsid w:val="009A0258"/>
    <w:rsid w:val="009A1347"/>
    <w:rsid w:val="009A1F8F"/>
    <w:rsid w:val="009B0696"/>
    <w:rsid w:val="009B511E"/>
    <w:rsid w:val="009B5275"/>
    <w:rsid w:val="009B55D5"/>
    <w:rsid w:val="009B6101"/>
    <w:rsid w:val="009B63D1"/>
    <w:rsid w:val="009C0DE8"/>
    <w:rsid w:val="009C1105"/>
    <w:rsid w:val="009C66B3"/>
    <w:rsid w:val="009D4464"/>
    <w:rsid w:val="009E3D4F"/>
    <w:rsid w:val="009F1EC2"/>
    <w:rsid w:val="00A06452"/>
    <w:rsid w:val="00A067C3"/>
    <w:rsid w:val="00A14753"/>
    <w:rsid w:val="00A15595"/>
    <w:rsid w:val="00A17514"/>
    <w:rsid w:val="00A2651A"/>
    <w:rsid w:val="00A30035"/>
    <w:rsid w:val="00A33815"/>
    <w:rsid w:val="00A435B0"/>
    <w:rsid w:val="00A43E5C"/>
    <w:rsid w:val="00A45AE1"/>
    <w:rsid w:val="00A50C5A"/>
    <w:rsid w:val="00A64BA7"/>
    <w:rsid w:val="00A651EE"/>
    <w:rsid w:val="00A72FB1"/>
    <w:rsid w:val="00A842A6"/>
    <w:rsid w:val="00A91A83"/>
    <w:rsid w:val="00A9777E"/>
    <w:rsid w:val="00AA2022"/>
    <w:rsid w:val="00AA57D5"/>
    <w:rsid w:val="00AC187D"/>
    <w:rsid w:val="00AD7FDE"/>
    <w:rsid w:val="00AE348B"/>
    <w:rsid w:val="00AE7B07"/>
    <w:rsid w:val="00AE7FCD"/>
    <w:rsid w:val="00AF0D55"/>
    <w:rsid w:val="00AF631C"/>
    <w:rsid w:val="00B1467C"/>
    <w:rsid w:val="00B20E20"/>
    <w:rsid w:val="00B23AA7"/>
    <w:rsid w:val="00B33E00"/>
    <w:rsid w:val="00B37DB6"/>
    <w:rsid w:val="00B47094"/>
    <w:rsid w:val="00B5480F"/>
    <w:rsid w:val="00B64887"/>
    <w:rsid w:val="00B6540C"/>
    <w:rsid w:val="00B81EAF"/>
    <w:rsid w:val="00B82C21"/>
    <w:rsid w:val="00B83703"/>
    <w:rsid w:val="00B86520"/>
    <w:rsid w:val="00B918CD"/>
    <w:rsid w:val="00B95353"/>
    <w:rsid w:val="00B96720"/>
    <w:rsid w:val="00BB084C"/>
    <w:rsid w:val="00BB41B6"/>
    <w:rsid w:val="00BC384F"/>
    <w:rsid w:val="00BD0D2B"/>
    <w:rsid w:val="00BF4C8F"/>
    <w:rsid w:val="00C14564"/>
    <w:rsid w:val="00C16D05"/>
    <w:rsid w:val="00C21855"/>
    <w:rsid w:val="00C31E22"/>
    <w:rsid w:val="00C33066"/>
    <w:rsid w:val="00C343BA"/>
    <w:rsid w:val="00C346E2"/>
    <w:rsid w:val="00C34FD9"/>
    <w:rsid w:val="00C367E5"/>
    <w:rsid w:val="00C371D3"/>
    <w:rsid w:val="00C42A68"/>
    <w:rsid w:val="00C42C89"/>
    <w:rsid w:val="00C436C7"/>
    <w:rsid w:val="00C52E68"/>
    <w:rsid w:val="00C54873"/>
    <w:rsid w:val="00C5752E"/>
    <w:rsid w:val="00C6308F"/>
    <w:rsid w:val="00C658ED"/>
    <w:rsid w:val="00C67CEC"/>
    <w:rsid w:val="00C67F3E"/>
    <w:rsid w:val="00C77B9D"/>
    <w:rsid w:val="00C857ED"/>
    <w:rsid w:val="00C90DFA"/>
    <w:rsid w:val="00C9127A"/>
    <w:rsid w:val="00C9753D"/>
    <w:rsid w:val="00CA2FAD"/>
    <w:rsid w:val="00CA56C9"/>
    <w:rsid w:val="00CB0DB6"/>
    <w:rsid w:val="00CC569F"/>
    <w:rsid w:val="00CC77AF"/>
    <w:rsid w:val="00CD0A6D"/>
    <w:rsid w:val="00CD5480"/>
    <w:rsid w:val="00CF0A56"/>
    <w:rsid w:val="00D025AF"/>
    <w:rsid w:val="00D031AA"/>
    <w:rsid w:val="00D059D6"/>
    <w:rsid w:val="00D133C5"/>
    <w:rsid w:val="00D13574"/>
    <w:rsid w:val="00D23648"/>
    <w:rsid w:val="00D324DF"/>
    <w:rsid w:val="00D4299D"/>
    <w:rsid w:val="00D47771"/>
    <w:rsid w:val="00D51CF0"/>
    <w:rsid w:val="00D566C1"/>
    <w:rsid w:val="00D64139"/>
    <w:rsid w:val="00D725F0"/>
    <w:rsid w:val="00D76039"/>
    <w:rsid w:val="00D7687E"/>
    <w:rsid w:val="00D82616"/>
    <w:rsid w:val="00D85954"/>
    <w:rsid w:val="00D87177"/>
    <w:rsid w:val="00D9343C"/>
    <w:rsid w:val="00DA0424"/>
    <w:rsid w:val="00DA25E1"/>
    <w:rsid w:val="00DA6199"/>
    <w:rsid w:val="00DB0811"/>
    <w:rsid w:val="00DB68B5"/>
    <w:rsid w:val="00DD15FD"/>
    <w:rsid w:val="00DD2296"/>
    <w:rsid w:val="00DE1BB8"/>
    <w:rsid w:val="00DF7049"/>
    <w:rsid w:val="00E00A0C"/>
    <w:rsid w:val="00E03188"/>
    <w:rsid w:val="00E068FD"/>
    <w:rsid w:val="00E152AD"/>
    <w:rsid w:val="00E236FD"/>
    <w:rsid w:val="00E452A6"/>
    <w:rsid w:val="00E50A3A"/>
    <w:rsid w:val="00E658B9"/>
    <w:rsid w:val="00E706A9"/>
    <w:rsid w:val="00E715C4"/>
    <w:rsid w:val="00E7327B"/>
    <w:rsid w:val="00E853FD"/>
    <w:rsid w:val="00E87162"/>
    <w:rsid w:val="00E90A1D"/>
    <w:rsid w:val="00E93A87"/>
    <w:rsid w:val="00EB6F31"/>
    <w:rsid w:val="00EB7F8E"/>
    <w:rsid w:val="00EC0666"/>
    <w:rsid w:val="00EC2AFC"/>
    <w:rsid w:val="00EC58A7"/>
    <w:rsid w:val="00ED307C"/>
    <w:rsid w:val="00EE1737"/>
    <w:rsid w:val="00EF031C"/>
    <w:rsid w:val="00EF1D71"/>
    <w:rsid w:val="00EF3987"/>
    <w:rsid w:val="00F1052B"/>
    <w:rsid w:val="00F256CE"/>
    <w:rsid w:val="00F32D5E"/>
    <w:rsid w:val="00F410A9"/>
    <w:rsid w:val="00F416D7"/>
    <w:rsid w:val="00F563CA"/>
    <w:rsid w:val="00F65CA6"/>
    <w:rsid w:val="00F707A3"/>
    <w:rsid w:val="00F7626A"/>
    <w:rsid w:val="00F76ED3"/>
    <w:rsid w:val="00F851AC"/>
    <w:rsid w:val="00F91644"/>
    <w:rsid w:val="00F933DA"/>
    <w:rsid w:val="00F95080"/>
    <w:rsid w:val="00F975D2"/>
    <w:rsid w:val="00FA178D"/>
    <w:rsid w:val="00FA1EA5"/>
    <w:rsid w:val="00FA43B6"/>
    <w:rsid w:val="00FB41F2"/>
    <w:rsid w:val="00FC6A68"/>
    <w:rsid w:val="00FD1B7B"/>
    <w:rsid w:val="00FD4EB6"/>
    <w:rsid w:val="00FD6641"/>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227E3"/>
  <w15:docId w15:val="{AB9E3A7A-F051-4C8F-B427-353053DE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19"/>
    <w:rPr>
      <w:rFonts w:ascii="Tahoma" w:hAnsi="Tahoma"/>
      <w:szCs w:val="24"/>
    </w:rPr>
  </w:style>
  <w:style w:type="paragraph" w:styleId="Heading4">
    <w:name w:val="heading 4"/>
    <w:basedOn w:val="Normal"/>
    <w:next w:val="Normal"/>
    <w:qFormat/>
    <w:rsid w:val="0036161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361619"/>
    <w:pPr>
      <w:spacing w:after="160" w:line="240" w:lineRule="exact"/>
    </w:pPr>
    <w:rPr>
      <w:rFonts w:ascii="Verdana" w:hAnsi="Verdana"/>
      <w:szCs w:val="20"/>
      <w:lang w:eastAsia="en-US"/>
    </w:rPr>
  </w:style>
  <w:style w:type="paragraph" w:styleId="Header">
    <w:name w:val="header"/>
    <w:basedOn w:val="Normal"/>
    <w:rsid w:val="00361619"/>
    <w:pPr>
      <w:tabs>
        <w:tab w:val="center" w:pos="4153"/>
        <w:tab w:val="right" w:pos="8306"/>
      </w:tabs>
    </w:pPr>
  </w:style>
  <w:style w:type="paragraph" w:styleId="Footer">
    <w:name w:val="footer"/>
    <w:basedOn w:val="Normal"/>
    <w:link w:val="FooterChar"/>
    <w:uiPriority w:val="99"/>
    <w:rsid w:val="00361619"/>
    <w:pPr>
      <w:tabs>
        <w:tab w:val="center" w:pos="4153"/>
        <w:tab w:val="right" w:pos="8306"/>
      </w:tabs>
    </w:pPr>
  </w:style>
  <w:style w:type="character" w:styleId="PageNumber">
    <w:name w:val="page number"/>
    <w:basedOn w:val="DefaultParagraphFont"/>
    <w:rsid w:val="00361619"/>
  </w:style>
  <w:style w:type="character" w:styleId="Hyperlink">
    <w:name w:val="Hyperlink"/>
    <w:rsid w:val="00361619"/>
    <w:rPr>
      <w:color w:val="0000FF"/>
      <w:u w:val="single"/>
    </w:rPr>
  </w:style>
  <w:style w:type="paragraph" w:styleId="FootnoteText">
    <w:name w:val="footnote text"/>
    <w:basedOn w:val="Normal"/>
    <w:rsid w:val="00361619"/>
    <w:rPr>
      <w:rFonts w:ascii="Arial" w:hAnsi="Arial" w:cs="Arial"/>
      <w:szCs w:val="20"/>
      <w:lang w:val="en-US" w:eastAsia="en-US"/>
    </w:rPr>
  </w:style>
  <w:style w:type="character" w:styleId="FootnoteReference">
    <w:name w:val="footnote reference"/>
    <w:rsid w:val="00361619"/>
    <w:rPr>
      <w:vertAlign w:val="superscript"/>
    </w:rPr>
  </w:style>
  <w:style w:type="character" w:styleId="FollowedHyperlink">
    <w:name w:val="FollowedHyperlink"/>
    <w:rsid w:val="009433A3"/>
    <w:rPr>
      <w:color w:val="800080"/>
      <w:u w:val="single"/>
    </w:rPr>
  </w:style>
  <w:style w:type="paragraph" w:styleId="BalloonText">
    <w:name w:val="Balloon Text"/>
    <w:basedOn w:val="Normal"/>
    <w:semiHidden/>
    <w:rsid w:val="00CC77AF"/>
    <w:rPr>
      <w:rFonts w:cs="Tahoma"/>
      <w:sz w:val="16"/>
      <w:szCs w:val="16"/>
    </w:rPr>
  </w:style>
  <w:style w:type="paragraph" w:styleId="ListParagraph">
    <w:name w:val="List Paragraph"/>
    <w:basedOn w:val="Normal"/>
    <w:uiPriority w:val="34"/>
    <w:qFormat/>
    <w:rsid w:val="00E236FD"/>
    <w:pPr>
      <w:ind w:left="720"/>
    </w:pPr>
  </w:style>
  <w:style w:type="character" w:styleId="CommentReference">
    <w:name w:val="annotation reference"/>
    <w:rsid w:val="00157F8A"/>
    <w:rPr>
      <w:sz w:val="16"/>
      <w:szCs w:val="16"/>
    </w:rPr>
  </w:style>
  <w:style w:type="paragraph" w:styleId="CommentText">
    <w:name w:val="annotation text"/>
    <w:basedOn w:val="Normal"/>
    <w:link w:val="CommentTextChar"/>
    <w:rsid w:val="00157F8A"/>
    <w:rPr>
      <w:szCs w:val="20"/>
    </w:rPr>
  </w:style>
  <w:style w:type="character" w:customStyle="1" w:styleId="CommentTextChar">
    <w:name w:val="Comment Text Char"/>
    <w:link w:val="CommentText"/>
    <w:rsid w:val="00157F8A"/>
    <w:rPr>
      <w:rFonts w:ascii="Tahoma" w:hAnsi="Tahoma"/>
    </w:rPr>
  </w:style>
  <w:style w:type="paragraph" w:styleId="CommentSubject">
    <w:name w:val="annotation subject"/>
    <w:basedOn w:val="CommentText"/>
    <w:next w:val="CommentText"/>
    <w:link w:val="CommentSubjectChar"/>
    <w:rsid w:val="00157F8A"/>
    <w:rPr>
      <w:b/>
      <w:bCs/>
    </w:rPr>
  </w:style>
  <w:style w:type="character" w:customStyle="1" w:styleId="CommentSubjectChar">
    <w:name w:val="Comment Subject Char"/>
    <w:link w:val="CommentSubject"/>
    <w:rsid w:val="00157F8A"/>
    <w:rPr>
      <w:rFonts w:ascii="Tahoma" w:hAnsi="Tahoma"/>
      <w:b/>
      <w:bCs/>
    </w:rPr>
  </w:style>
  <w:style w:type="paragraph" w:customStyle="1" w:styleId="Default">
    <w:name w:val="Default"/>
    <w:rsid w:val="005E5202"/>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B55D5"/>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vetting@finance-n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vetting@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urityvetting@finance-ni.gov.uk" TargetMode="External"/><Relationship Id="rId4" Type="http://schemas.openxmlformats.org/officeDocument/2006/relationships/settings" Target="settings.xml"/><Relationship Id="rId9" Type="http://schemas.openxmlformats.org/officeDocument/2006/relationships/hyperlink" Target="https://www.finance-ni.gov.uk/publications/cpd-new-work-request-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BE99-38B5-48FF-A747-26F0E487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N.I.C.S</Company>
  <LinksUpToDate>false</LinksUpToDate>
  <CharactersWithSpaces>6836</CharactersWithSpaces>
  <SharedDoc>false</SharedDoc>
  <HLinks>
    <vt:vector size="48" baseType="variant">
      <vt:variant>
        <vt:i4>1245299</vt:i4>
      </vt:variant>
      <vt:variant>
        <vt:i4>21</vt:i4>
      </vt:variant>
      <vt:variant>
        <vt:i4>0</vt:i4>
      </vt:variant>
      <vt:variant>
        <vt:i4>5</vt:i4>
      </vt:variant>
      <vt:variant>
        <vt:lpwstr>mailto:resourcingchr@dfpni.gov.uk</vt:lpwstr>
      </vt:variant>
      <vt:variant>
        <vt:lpwstr/>
      </vt:variant>
      <vt:variant>
        <vt:i4>1769546</vt:i4>
      </vt:variant>
      <vt:variant>
        <vt:i4>18</vt:i4>
      </vt:variant>
      <vt:variant>
        <vt:i4>0</vt:i4>
      </vt:variant>
      <vt:variant>
        <vt:i4>5</vt:i4>
      </vt:variant>
      <vt:variant>
        <vt:lpwstr>http://www.dojni.gov.uk/accessni</vt:lpwstr>
      </vt:variant>
      <vt:variant>
        <vt:lpwstr/>
      </vt:variant>
      <vt:variant>
        <vt:i4>524321</vt:i4>
      </vt:variant>
      <vt:variant>
        <vt:i4>15</vt:i4>
      </vt:variant>
      <vt:variant>
        <vt:i4>0</vt:i4>
      </vt:variant>
      <vt:variant>
        <vt:i4>5</vt:i4>
      </vt:variant>
      <vt:variant>
        <vt:lpwstr>http://www.accessni.gov.uk/guidance_document_from_12.10.09-4.pdf</vt:lpwstr>
      </vt:variant>
      <vt:variant>
        <vt:lpwstr/>
      </vt:variant>
      <vt:variant>
        <vt:i4>524321</vt:i4>
      </vt:variant>
      <vt:variant>
        <vt:i4>12</vt:i4>
      </vt:variant>
      <vt:variant>
        <vt:i4>0</vt:i4>
      </vt:variant>
      <vt:variant>
        <vt:i4>5</vt:i4>
      </vt:variant>
      <vt:variant>
        <vt:lpwstr>http://www.accessni.gov.uk/guidance_document_from_12.10.09-4.pdf</vt:lpwstr>
      </vt:variant>
      <vt:variant>
        <vt:lpwstr/>
      </vt:variant>
      <vt:variant>
        <vt:i4>2621493</vt:i4>
      </vt:variant>
      <vt:variant>
        <vt:i4>9</vt:i4>
      </vt:variant>
      <vt:variant>
        <vt:i4>0</vt:i4>
      </vt:variant>
      <vt:variant>
        <vt:i4>5</vt:i4>
      </vt:variant>
      <vt:variant>
        <vt:lpwstr>http://cpdonline.intranet.nics.gov.uk/</vt:lpwstr>
      </vt:variant>
      <vt:variant>
        <vt:lpwstr/>
      </vt:variant>
      <vt:variant>
        <vt:i4>1245299</vt:i4>
      </vt:variant>
      <vt:variant>
        <vt:i4>6</vt:i4>
      </vt:variant>
      <vt:variant>
        <vt:i4>0</vt:i4>
      </vt:variant>
      <vt:variant>
        <vt:i4>5</vt:i4>
      </vt:variant>
      <vt:variant>
        <vt:lpwstr>mailto:resourcingchr@dfpni.gov.uk</vt:lpwstr>
      </vt:variant>
      <vt:variant>
        <vt:lpwstr/>
      </vt:variant>
      <vt:variant>
        <vt:i4>1245299</vt:i4>
      </vt:variant>
      <vt:variant>
        <vt:i4>3</vt:i4>
      </vt:variant>
      <vt:variant>
        <vt:i4>0</vt:i4>
      </vt:variant>
      <vt:variant>
        <vt:i4>5</vt:i4>
      </vt:variant>
      <vt:variant>
        <vt:lpwstr>mailto:resourcingchr@dfpni.gov.uk</vt:lpwstr>
      </vt:variant>
      <vt:variant>
        <vt:lpwstr/>
      </vt:variant>
      <vt:variant>
        <vt:i4>1376329</vt:i4>
      </vt:variant>
      <vt:variant>
        <vt:i4>0</vt:i4>
      </vt:variant>
      <vt:variant>
        <vt:i4>0</vt:i4>
      </vt:variant>
      <vt:variant>
        <vt:i4>5</vt:i4>
      </vt:variant>
      <vt:variant>
        <vt:lpwstr>http://cpdonline.intranet.nics.gov.uk/ppn_13_08_data_handling.pdf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SSD</dc:creator>
  <cp:keywords>SSD Security Clearance Process May 2022</cp:keywords>
  <dc:description>SSD Security Clearance Process May 2022</dc:description>
  <cp:lastModifiedBy>McClelland, Jane</cp:lastModifiedBy>
  <cp:revision>6</cp:revision>
  <cp:lastPrinted>2014-02-14T13:40:00Z</cp:lastPrinted>
  <dcterms:created xsi:type="dcterms:W3CDTF">2022-05-23T12:21:00Z</dcterms:created>
  <dcterms:modified xsi:type="dcterms:W3CDTF">2022-05-31T15:50:00Z</dcterms:modified>
</cp:coreProperties>
</file>